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07CB" w14:textId="28D0D99F" w:rsidR="00AB7280" w:rsidRDefault="00AB7280" w:rsidP="00AB7280">
      <w:pPr>
        <w:jc w:val="center"/>
      </w:pPr>
      <w:bookmarkStart w:id="0" w:name="_GoBack"/>
      <w:bookmarkEnd w:id="0"/>
      <w:r>
        <w:rPr>
          <w:rStyle w:val="Heading1Char"/>
          <w:rFonts w:asciiTheme="minorHAnsi" w:hAnsiTheme="minorHAnsi" w:cstheme="minorHAnsi"/>
          <w:b/>
          <w:bCs/>
          <w:color w:val="00718C"/>
        </w:rPr>
        <w:br/>
      </w:r>
      <w:r w:rsidR="00F63833" w:rsidRPr="00F63833">
        <w:rPr>
          <w:rStyle w:val="Heading1Char"/>
          <w:rFonts w:asciiTheme="minorHAnsi" w:hAnsiTheme="minorHAnsi" w:cstheme="minorHAnsi"/>
          <w:b/>
          <w:bCs/>
          <w:color w:val="00718C"/>
        </w:rPr>
        <w:t>Template for Guidance Plan</w:t>
      </w:r>
      <w:r>
        <w:rPr>
          <w:rStyle w:val="Heading1Char"/>
          <w:rFonts w:asciiTheme="minorHAnsi" w:hAnsiTheme="minorHAnsi" w:cstheme="minorHAnsi"/>
          <w:b/>
          <w:bCs/>
          <w:color w:val="00718C"/>
        </w:rPr>
        <w:t>:</w:t>
      </w:r>
      <w:r w:rsidR="00F63833" w:rsidRPr="00F63833">
        <w:rPr>
          <w:rStyle w:val="Heading1Char"/>
          <w:rFonts w:asciiTheme="minorHAnsi" w:hAnsiTheme="minorHAnsi" w:cstheme="minorHAnsi"/>
          <w:b/>
          <w:bCs/>
        </w:rPr>
        <w:br/>
      </w:r>
      <w:r w:rsidR="00F63833" w:rsidRPr="00AB7280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  <w:t>Applying to Higher Education from Further Education</w:t>
      </w:r>
    </w:p>
    <w:p w14:paraId="2C078E63" w14:textId="39242512" w:rsidR="009C77BB" w:rsidRPr="00F63833" w:rsidRDefault="00F63833" w:rsidP="00AB7280">
      <w:pPr>
        <w:rPr>
          <w:b/>
          <w:bCs/>
          <w:sz w:val="28"/>
          <w:szCs w:val="28"/>
          <w:lang w:val="en-GB"/>
        </w:rPr>
      </w:pPr>
      <w:r>
        <w:br/>
      </w:r>
      <w:r w:rsidR="2EFAA238">
        <w:t xml:space="preserve">This resource has been developed in order to provide an example of how </w:t>
      </w:r>
      <w:r w:rsidR="2515869E">
        <w:t xml:space="preserve">the content from the webinar </w:t>
      </w:r>
      <w:hyperlink r:id="rId10" w:history="1">
        <w:r w:rsidR="2515869E" w:rsidRPr="009620D6">
          <w:rPr>
            <w:rStyle w:val="Hyperlink"/>
          </w:rPr>
          <w:t>‘Applying to Higher Education from Fur</w:t>
        </w:r>
        <w:r w:rsidR="22A7092D" w:rsidRPr="009620D6">
          <w:rPr>
            <w:rStyle w:val="Hyperlink"/>
          </w:rPr>
          <w:t xml:space="preserve">ther Education’ </w:t>
        </w:r>
      </w:hyperlink>
      <w:r w:rsidR="22A7092D">
        <w:t xml:space="preserve"> can be incorporated into a post-primary Guidance plan</w:t>
      </w:r>
      <w:r w:rsidR="131DC79E">
        <w:t>.</w:t>
      </w:r>
    </w:p>
    <w:p w14:paraId="5DE98963" w14:textId="1BFA7CC4" w:rsidR="131DC79E" w:rsidRDefault="131DC79E" w:rsidP="02AADAB6">
      <w:r>
        <w:t xml:space="preserve">This template aims to provide a stimulus for </w:t>
      </w:r>
      <w:r w:rsidR="2DE91C3C">
        <w:t>thought and is not prescriptive in terms of the content of a guidance plan.</w:t>
      </w:r>
      <w:r w:rsidR="437EE1D1">
        <w:t xml:space="preserve"> It may be adapted to meet the needs of the school and appended into a preexisting Guidance plan.</w:t>
      </w:r>
    </w:p>
    <w:p w14:paraId="630F77E1" w14:textId="13A33B14" w:rsidR="02AADAB6" w:rsidRDefault="2DE91C3C" w:rsidP="02AADAB6">
      <w:r>
        <w:t>____________________________________________________________________________________</w:t>
      </w:r>
    </w:p>
    <w:p w14:paraId="4C167BBA" w14:textId="5BF92F37" w:rsidR="68BC51B8" w:rsidRPr="0087050F" w:rsidRDefault="68BC51B8" w:rsidP="02AADAB6">
      <w:pPr>
        <w:jc w:val="center"/>
        <w:rPr>
          <w:b/>
          <w:bCs/>
          <w:color w:val="00718C"/>
        </w:rPr>
      </w:pPr>
      <w:r w:rsidRPr="0087050F">
        <w:rPr>
          <w:b/>
          <w:bCs/>
          <w:color w:val="00718C"/>
        </w:rPr>
        <w:t xml:space="preserve">Focusing on </w:t>
      </w:r>
      <w:r w:rsidR="49E57835" w:rsidRPr="0087050F">
        <w:rPr>
          <w:b/>
          <w:bCs/>
          <w:color w:val="00718C"/>
        </w:rPr>
        <w:t xml:space="preserve">Further Education </w:t>
      </w:r>
    </w:p>
    <w:p w14:paraId="315F139D" w14:textId="6670ADEF" w:rsidR="121D2270" w:rsidRDefault="121D2270" w:rsidP="02AADAB6">
      <w:r>
        <w:t xml:space="preserve"> Further Education </w:t>
      </w:r>
      <w:r w:rsidR="0F66ECD3">
        <w:t>is</w:t>
      </w:r>
      <w:r>
        <w:t xml:space="preserve"> discussed with students throughout their time in </w:t>
      </w:r>
      <w:r w:rsidR="76B7C5E8">
        <w:t xml:space="preserve">our </w:t>
      </w:r>
      <w:r>
        <w:t>school</w:t>
      </w:r>
      <w:r w:rsidR="398C95D2">
        <w:t xml:space="preserve"> as follows: </w:t>
      </w:r>
    </w:p>
    <w:p w14:paraId="610E85D3" w14:textId="1C1D4EE7" w:rsidR="23CB7F94" w:rsidRPr="0087050F" w:rsidRDefault="23CB7F94" w:rsidP="02AADAB6">
      <w:pPr>
        <w:rPr>
          <w:b/>
          <w:bCs/>
          <w:color w:val="00718C"/>
        </w:rPr>
      </w:pPr>
      <w:r w:rsidRPr="0087050F">
        <w:rPr>
          <w:b/>
          <w:bCs/>
          <w:color w:val="00718C"/>
        </w:rPr>
        <w:t>Junior Cycle</w:t>
      </w:r>
    </w:p>
    <w:p w14:paraId="6B8ECA2A" w14:textId="5A6D6685" w:rsidR="121D2270" w:rsidRDefault="121D2270" w:rsidP="02AADAB6">
      <w:pPr>
        <w:rPr>
          <w:color w:val="BFBFBF" w:themeColor="background1" w:themeShade="BF"/>
        </w:rPr>
      </w:pPr>
      <w:r w:rsidRPr="02AADAB6">
        <w:rPr>
          <w:color w:val="BFBFBF" w:themeColor="background1" w:themeShade="BF"/>
        </w:rPr>
        <w:t xml:space="preserve">Junior cycle students engage in </w:t>
      </w:r>
      <w:hyperlink r:id="rId11" w:history="1">
        <w:r w:rsidRPr="0067251C">
          <w:rPr>
            <w:rStyle w:val="Hyperlink"/>
          </w:rPr>
          <w:t>‘Guidance Related Learning’</w:t>
        </w:r>
      </w:hyperlink>
      <w:r w:rsidR="75D86B14" w:rsidRPr="02AADAB6">
        <w:rPr>
          <w:color w:val="BFBFBF" w:themeColor="background1" w:themeShade="BF"/>
        </w:rPr>
        <w:t xml:space="preserve"> </w:t>
      </w:r>
      <w:r w:rsidRPr="02AADAB6">
        <w:rPr>
          <w:color w:val="BFBFBF" w:themeColor="background1" w:themeShade="BF"/>
        </w:rPr>
        <w:t>content in 1</w:t>
      </w:r>
      <w:r w:rsidRPr="02AADAB6">
        <w:rPr>
          <w:color w:val="BFBFBF" w:themeColor="background1" w:themeShade="BF"/>
          <w:vertAlign w:val="superscript"/>
        </w:rPr>
        <w:t>st</w:t>
      </w:r>
      <w:r w:rsidRPr="02AADAB6">
        <w:rPr>
          <w:color w:val="BFBFBF" w:themeColor="background1" w:themeShade="BF"/>
        </w:rPr>
        <w:t>, 2</w:t>
      </w:r>
      <w:r w:rsidRPr="02AADAB6">
        <w:rPr>
          <w:color w:val="BFBFBF" w:themeColor="background1" w:themeShade="BF"/>
          <w:vertAlign w:val="superscript"/>
        </w:rPr>
        <w:t>nd</w:t>
      </w:r>
      <w:r w:rsidRPr="02AADAB6">
        <w:rPr>
          <w:color w:val="BFBFBF" w:themeColor="background1" w:themeShade="BF"/>
        </w:rPr>
        <w:t xml:space="preserve"> and 3</w:t>
      </w:r>
      <w:r w:rsidRPr="02AADAB6">
        <w:rPr>
          <w:color w:val="BFBFBF" w:themeColor="background1" w:themeShade="BF"/>
          <w:vertAlign w:val="superscript"/>
        </w:rPr>
        <w:t>rd</w:t>
      </w:r>
      <w:r w:rsidRPr="02AADAB6">
        <w:rPr>
          <w:color w:val="BFBFBF" w:themeColor="background1" w:themeShade="BF"/>
        </w:rPr>
        <w:t xml:space="preserve"> year and Further Education is</w:t>
      </w:r>
      <w:r w:rsidR="50C207A1" w:rsidRPr="02AADAB6">
        <w:rPr>
          <w:color w:val="BFBFBF" w:themeColor="background1" w:themeShade="BF"/>
        </w:rPr>
        <w:t xml:space="preserve"> noted and</w:t>
      </w:r>
      <w:r w:rsidRPr="02AADAB6">
        <w:rPr>
          <w:color w:val="BFBFBF" w:themeColor="background1" w:themeShade="BF"/>
        </w:rPr>
        <w:t xml:space="preserve"> introduced within the units of learning.</w:t>
      </w:r>
      <w:r w:rsidR="70D2A925" w:rsidRPr="02AADAB6">
        <w:rPr>
          <w:color w:val="BFBFBF" w:themeColor="background1" w:themeShade="BF"/>
        </w:rPr>
        <w:t xml:space="preserve"> For example, in 3</w:t>
      </w:r>
      <w:r w:rsidR="70D2A925" w:rsidRPr="02AADAB6">
        <w:rPr>
          <w:color w:val="BFBFBF" w:themeColor="background1" w:themeShade="BF"/>
          <w:vertAlign w:val="superscript"/>
        </w:rPr>
        <w:t>rd</w:t>
      </w:r>
      <w:r w:rsidR="70D2A925" w:rsidRPr="02AADAB6">
        <w:rPr>
          <w:color w:val="BFBFBF" w:themeColor="background1" w:themeShade="BF"/>
        </w:rPr>
        <w:t xml:space="preserve"> years, ‘Pathways’ are discussed with students and FE is discussed</w:t>
      </w:r>
      <w:r w:rsidR="2C5FB2A4" w:rsidRPr="02AADAB6">
        <w:rPr>
          <w:color w:val="BFBFBF" w:themeColor="background1" w:themeShade="BF"/>
        </w:rPr>
        <w:t>.</w:t>
      </w:r>
      <w:r w:rsidR="70D2A925" w:rsidRPr="02AADAB6">
        <w:rPr>
          <w:color w:val="BFBFBF" w:themeColor="background1" w:themeShade="BF"/>
        </w:rPr>
        <w:t xml:space="preserve"> </w:t>
      </w:r>
    </w:p>
    <w:p w14:paraId="0547E9D9" w14:textId="6D2923BD" w:rsidR="3B5C40FA" w:rsidRPr="00B42237" w:rsidRDefault="3B5C40FA" w:rsidP="02AADAB6">
      <w:pPr>
        <w:rPr>
          <w:b/>
          <w:bCs/>
          <w:u w:val="single"/>
        </w:rPr>
      </w:pPr>
      <w:r w:rsidRPr="0087050F">
        <w:rPr>
          <w:b/>
          <w:bCs/>
          <w:color w:val="00718C"/>
        </w:rPr>
        <w:t>Senior Cycle</w:t>
      </w:r>
    </w:p>
    <w:p w14:paraId="15F08E5E" w14:textId="65F9D73E" w:rsidR="004D131F" w:rsidRDefault="004D131F" w:rsidP="02AADAB6">
      <w:r>
        <w:lastRenderedPageBreak/>
        <w:t>Activities within senior cycle include the following: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2190"/>
        <w:gridCol w:w="2655"/>
        <w:gridCol w:w="2640"/>
      </w:tblGrid>
      <w:tr w:rsidR="02AADAB6" w14:paraId="3068BAC7" w14:textId="77777777" w:rsidTr="33890E4E">
        <w:tc>
          <w:tcPr>
            <w:tcW w:w="1995" w:type="dxa"/>
          </w:tcPr>
          <w:p w14:paraId="16121BD3" w14:textId="3B9806E2" w:rsidR="02AADAB6" w:rsidRDefault="02AADAB6" w:rsidP="02AADAB6"/>
        </w:tc>
        <w:tc>
          <w:tcPr>
            <w:tcW w:w="2190" w:type="dxa"/>
          </w:tcPr>
          <w:p w14:paraId="174FD959" w14:textId="6D050C94" w:rsidR="088A5D67" w:rsidRDefault="088A5D67" w:rsidP="02AADAB6">
            <w:r>
              <w:t>TY students</w:t>
            </w:r>
          </w:p>
        </w:tc>
        <w:tc>
          <w:tcPr>
            <w:tcW w:w="2655" w:type="dxa"/>
          </w:tcPr>
          <w:p w14:paraId="768BC0EB" w14:textId="6EF63D8E" w:rsidR="088A5D67" w:rsidRDefault="088A5D67" w:rsidP="02AADAB6">
            <w:r>
              <w:t>5</w:t>
            </w:r>
            <w:r w:rsidRPr="02AADAB6">
              <w:rPr>
                <w:vertAlign w:val="superscript"/>
              </w:rPr>
              <w:t>th</w:t>
            </w:r>
            <w:r>
              <w:t xml:space="preserve"> year students</w:t>
            </w:r>
          </w:p>
        </w:tc>
        <w:tc>
          <w:tcPr>
            <w:tcW w:w="2640" w:type="dxa"/>
          </w:tcPr>
          <w:p w14:paraId="220DE4C5" w14:textId="307EFB08" w:rsidR="088A5D67" w:rsidRDefault="088A5D67" w:rsidP="02AADAB6">
            <w:r>
              <w:t>6</w:t>
            </w:r>
            <w:r w:rsidRPr="02AADAB6">
              <w:rPr>
                <w:vertAlign w:val="superscript"/>
              </w:rPr>
              <w:t>th</w:t>
            </w:r>
            <w:r>
              <w:t xml:space="preserve"> year students</w:t>
            </w:r>
          </w:p>
        </w:tc>
      </w:tr>
      <w:tr w:rsidR="02AADAB6" w14:paraId="24467D07" w14:textId="77777777" w:rsidTr="33890E4E">
        <w:tc>
          <w:tcPr>
            <w:tcW w:w="1995" w:type="dxa"/>
          </w:tcPr>
          <w:p w14:paraId="0CC84165" w14:textId="75B99077" w:rsidR="088A5D67" w:rsidRPr="00ED0BE7" w:rsidRDefault="088A5D67" w:rsidP="02AADAB6">
            <w:pPr>
              <w:rPr>
                <w:b/>
                <w:bCs/>
              </w:rPr>
            </w:pPr>
            <w:r w:rsidRPr="00ED0BE7">
              <w:rPr>
                <w:b/>
                <w:bCs/>
                <w:color w:val="00B0F0"/>
              </w:rPr>
              <w:t>Guidance for All</w:t>
            </w:r>
          </w:p>
        </w:tc>
        <w:tc>
          <w:tcPr>
            <w:tcW w:w="2190" w:type="dxa"/>
          </w:tcPr>
          <w:p w14:paraId="16E7F4DD" w14:textId="36DF215A" w:rsidR="421E26F5" w:rsidRDefault="421E26F5" w:rsidP="02AADAB6">
            <w:pPr>
              <w:rPr>
                <w:color w:val="BFBFBF" w:themeColor="background1" w:themeShade="BF"/>
              </w:rPr>
            </w:pPr>
            <w:r>
              <w:t>-</w:t>
            </w:r>
            <w:r w:rsidR="5F9F85B7" w:rsidRPr="02AADAB6">
              <w:rPr>
                <w:color w:val="BFBFBF" w:themeColor="background1" w:themeShade="BF"/>
              </w:rPr>
              <w:t xml:space="preserve">One </w:t>
            </w:r>
            <w:r w:rsidR="008062FA">
              <w:rPr>
                <w:color w:val="BFBFBF" w:themeColor="background1" w:themeShade="BF"/>
              </w:rPr>
              <w:t>guidance</w:t>
            </w:r>
            <w:r w:rsidR="5F9F85B7" w:rsidRPr="02AADAB6">
              <w:rPr>
                <w:color w:val="BFBFBF" w:themeColor="background1" w:themeShade="BF"/>
              </w:rPr>
              <w:t xml:space="preserve"> class focusing directly on FE</w:t>
            </w:r>
          </w:p>
          <w:p w14:paraId="7893C17B" w14:textId="5D28287D" w:rsidR="7D6264B5" w:rsidRDefault="7D6264B5" w:rsidP="02AADAB6">
            <w:pPr>
              <w:rPr>
                <w:color w:val="BFBFBF" w:themeColor="background1" w:themeShade="BF"/>
              </w:rPr>
            </w:pPr>
            <w:r w:rsidRPr="02AADAB6">
              <w:rPr>
                <w:color w:val="BFBFBF" w:themeColor="background1" w:themeShade="BF"/>
              </w:rPr>
              <w:t xml:space="preserve">- </w:t>
            </w:r>
            <w:r w:rsidR="5F9F85B7" w:rsidRPr="02AADAB6">
              <w:rPr>
                <w:color w:val="BFBFBF" w:themeColor="background1" w:themeShade="BF"/>
              </w:rPr>
              <w:t>Careers project must include reflections on at least one option within FE.</w:t>
            </w:r>
          </w:p>
        </w:tc>
        <w:tc>
          <w:tcPr>
            <w:tcW w:w="2655" w:type="dxa"/>
          </w:tcPr>
          <w:p w14:paraId="65900BFA" w14:textId="0B9E1B69" w:rsidR="6F98E124" w:rsidRDefault="6F98E124" w:rsidP="02AADAB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 xml:space="preserve">One </w:t>
            </w:r>
            <w:r w:rsidR="008062FA">
              <w:rPr>
                <w:color w:val="BFBFBF" w:themeColor="background1" w:themeShade="BF"/>
              </w:rPr>
              <w:t>guidance</w:t>
            </w:r>
            <w:r w:rsidRPr="02AADAB6">
              <w:rPr>
                <w:color w:val="BFBFBF" w:themeColor="background1" w:themeShade="BF"/>
              </w:rPr>
              <w:t xml:space="preserve"> class focusing on FE.</w:t>
            </w:r>
          </w:p>
          <w:p w14:paraId="6ED62138" w14:textId="56D5EDB3" w:rsidR="6F98E124" w:rsidRDefault="6F98E124" w:rsidP="02AADAB6">
            <w:pPr>
              <w:pStyle w:val="ListParagraph"/>
              <w:numPr>
                <w:ilvl w:val="0"/>
                <w:numId w:val="6"/>
              </w:numPr>
              <w:rPr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>Mr. Smith facilitates second class reflecting on his experience of a PLC.</w:t>
            </w:r>
          </w:p>
        </w:tc>
        <w:tc>
          <w:tcPr>
            <w:tcW w:w="2640" w:type="dxa"/>
          </w:tcPr>
          <w:p w14:paraId="36D6F750" w14:textId="201254C5" w:rsidR="72C50FC9" w:rsidRDefault="72C50FC9" w:rsidP="02AADAB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 xml:space="preserve">Two </w:t>
            </w:r>
            <w:r w:rsidR="008062FA">
              <w:rPr>
                <w:color w:val="BFBFBF" w:themeColor="background1" w:themeShade="BF"/>
              </w:rPr>
              <w:t>guidance</w:t>
            </w:r>
            <w:r w:rsidRPr="02AADAB6">
              <w:rPr>
                <w:color w:val="BFBFBF" w:themeColor="background1" w:themeShade="BF"/>
              </w:rPr>
              <w:t xml:space="preserve"> classes focusing on FE.</w:t>
            </w:r>
          </w:p>
          <w:p w14:paraId="2F70652B" w14:textId="67609E5A" w:rsidR="72C50FC9" w:rsidRDefault="72C50FC9" w:rsidP="02AADAB6">
            <w:pPr>
              <w:pStyle w:val="ListParagraph"/>
              <w:numPr>
                <w:ilvl w:val="0"/>
                <w:numId w:val="4"/>
              </w:numPr>
              <w:rPr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>Students encouraged to attend open days/evenings.</w:t>
            </w:r>
          </w:p>
        </w:tc>
      </w:tr>
      <w:tr w:rsidR="02AADAB6" w14:paraId="2248F56D" w14:textId="77777777" w:rsidTr="33890E4E">
        <w:tc>
          <w:tcPr>
            <w:tcW w:w="1995" w:type="dxa"/>
          </w:tcPr>
          <w:p w14:paraId="7C5D50D6" w14:textId="620EE25A" w:rsidR="088A5D67" w:rsidRPr="00ED0BE7" w:rsidRDefault="088A5D67" w:rsidP="02AADAB6">
            <w:pPr>
              <w:rPr>
                <w:b/>
                <w:bCs/>
              </w:rPr>
            </w:pPr>
            <w:r w:rsidRPr="00131FD6">
              <w:rPr>
                <w:b/>
                <w:bCs/>
                <w:color w:val="92D050"/>
              </w:rPr>
              <w:t>Guidance for Some</w:t>
            </w:r>
          </w:p>
        </w:tc>
        <w:tc>
          <w:tcPr>
            <w:tcW w:w="2190" w:type="dxa"/>
          </w:tcPr>
          <w:p w14:paraId="48E49453" w14:textId="7808A7A2" w:rsidR="6674E4C5" w:rsidRDefault="6674E4C5" w:rsidP="02AADAB6">
            <w:r>
              <w:t xml:space="preserve"> </w:t>
            </w:r>
          </w:p>
        </w:tc>
        <w:tc>
          <w:tcPr>
            <w:tcW w:w="2655" w:type="dxa"/>
          </w:tcPr>
          <w:p w14:paraId="25F93A6F" w14:textId="22963A19" w:rsidR="6C5E7965" w:rsidRDefault="6C5E7965" w:rsidP="02AADAB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>Students complete a ‘mock application’ and interview for PLC as an optional activity. Feedback provided by GCllr and interviewing teacher.</w:t>
            </w:r>
          </w:p>
        </w:tc>
        <w:tc>
          <w:tcPr>
            <w:tcW w:w="2640" w:type="dxa"/>
          </w:tcPr>
          <w:p w14:paraId="492B8C7F" w14:textId="202677F5" w:rsidR="374C593D" w:rsidRDefault="374C593D" w:rsidP="02AADAB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>Groupwork on preparing for interview.</w:t>
            </w:r>
          </w:p>
          <w:p w14:paraId="6E67C8F4" w14:textId="7E429500" w:rsidR="3169F4FB" w:rsidRDefault="3169F4FB" w:rsidP="02AADAB6">
            <w:pPr>
              <w:pStyle w:val="ListParagraph"/>
              <w:numPr>
                <w:ilvl w:val="0"/>
                <w:numId w:val="3"/>
              </w:numPr>
              <w:rPr>
                <w:color w:val="BFBFBF" w:themeColor="background1" w:themeShade="BF"/>
                <w:sz w:val="21"/>
                <w:szCs w:val="21"/>
              </w:rPr>
            </w:pPr>
            <w:r w:rsidRPr="02AADAB6">
              <w:rPr>
                <w:color w:val="BFBFBF" w:themeColor="background1" w:themeShade="BF"/>
              </w:rPr>
              <w:t>References for students who will be applying, completed by year head.</w:t>
            </w:r>
            <w:r w:rsidR="00B42237">
              <w:rPr>
                <w:color w:val="BFBFBF" w:themeColor="background1" w:themeShade="BF"/>
              </w:rPr>
              <w:br/>
            </w:r>
            <w:r w:rsidR="00B42237">
              <w:rPr>
                <w:color w:val="BFBFBF" w:themeColor="background1" w:themeShade="BF"/>
              </w:rPr>
              <w:br/>
            </w:r>
          </w:p>
        </w:tc>
      </w:tr>
      <w:tr w:rsidR="02AADAB6" w14:paraId="5D70B5B7" w14:textId="77777777" w:rsidTr="33890E4E">
        <w:tc>
          <w:tcPr>
            <w:tcW w:w="1995" w:type="dxa"/>
          </w:tcPr>
          <w:p w14:paraId="097A2386" w14:textId="13B4223B" w:rsidR="088A5D67" w:rsidRPr="00633D9D" w:rsidRDefault="088A5D67" w:rsidP="02AADAB6">
            <w:pPr>
              <w:rPr>
                <w:b/>
                <w:bCs/>
              </w:rPr>
            </w:pPr>
            <w:r w:rsidRPr="00633D9D">
              <w:rPr>
                <w:b/>
                <w:bCs/>
                <w:color w:val="FF0000"/>
              </w:rPr>
              <w:t>Guidance for a few</w:t>
            </w:r>
          </w:p>
        </w:tc>
        <w:tc>
          <w:tcPr>
            <w:tcW w:w="2190" w:type="dxa"/>
          </w:tcPr>
          <w:p w14:paraId="7CA9748F" w14:textId="01E7E675" w:rsidR="497EE883" w:rsidRDefault="497EE883" w:rsidP="02AADAB6">
            <w:r w:rsidRPr="02AADAB6">
              <w:rPr>
                <w:color w:val="BFBFBF" w:themeColor="background1" w:themeShade="BF"/>
              </w:rPr>
              <w:t>Guidance Counsellor takes group of students who show interest in FE as a group at this stage in their education and facilitates discussion.</w:t>
            </w:r>
          </w:p>
        </w:tc>
        <w:tc>
          <w:tcPr>
            <w:tcW w:w="2655" w:type="dxa"/>
          </w:tcPr>
          <w:p w14:paraId="167E7C49" w14:textId="4B6C1477" w:rsidR="02AADAB6" w:rsidRDefault="02AADAB6" w:rsidP="02AADAB6"/>
        </w:tc>
        <w:tc>
          <w:tcPr>
            <w:tcW w:w="2640" w:type="dxa"/>
          </w:tcPr>
          <w:p w14:paraId="0F2C99BA" w14:textId="4993B1A3" w:rsidR="751BF8F8" w:rsidRDefault="4856F5D5" w:rsidP="33890E4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BFBFBF" w:themeColor="background1" w:themeShade="BF"/>
                <w:sz w:val="21"/>
                <w:szCs w:val="21"/>
              </w:rPr>
            </w:pPr>
            <w:r w:rsidRPr="33890E4E">
              <w:rPr>
                <w:color w:val="BFBFBF" w:themeColor="background1" w:themeShade="BF"/>
              </w:rPr>
              <w:t xml:space="preserve">Personal </w:t>
            </w:r>
            <w:r w:rsidR="1D1D9C21" w:rsidRPr="33890E4E">
              <w:rPr>
                <w:color w:val="BFBFBF" w:themeColor="background1" w:themeShade="BF"/>
              </w:rPr>
              <w:t>guidance to support</w:t>
            </w:r>
            <w:r w:rsidRPr="33890E4E">
              <w:rPr>
                <w:color w:val="BFBFBF" w:themeColor="background1" w:themeShade="BF"/>
              </w:rPr>
              <w:t xml:space="preserve"> students who are nervous about interviewing.</w:t>
            </w:r>
          </w:p>
          <w:p w14:paraId="50B75397" w14:textId="1F71C827" w:rsidR="02AADAB6" w:rsidRDefault="02AADAB6" w:rsidP="02AADAB6"/>
        </w:tc>
      </w:tr>
    </w:tbl>
    <w:p w14:paraId="44D54797" w14:textId="0E24AB27" w:rsidR="00E469B8" w:rsidRDefault="00E469B8" w:rsidP="02AADAB6"/>
    <w:p w14:paraId="7E6F47DB" w14:textId="56F3BED6" w:rsidR="02AADAB6" w:rsidRDefault="02AADAB6" w:rsidP="02AADAB6"/>
    <w:p w14:paraId="65472300" w14:textId="281364AA" w:rsidR="7A4CB856" w:rsidRPr="0087050F" w:rsidRDefault="7A4CB856" w:rsidP="02AADAB6">
      <w:pPr>
        <w:rPr>
          <w:b/>
          <w:bCs/>
          <w:color w:val="00718C"/>
        </w:rPr>
      </w:pPr>
      <w:r w:rsidRPr="0087050F">
        <w:rPr>
          <w:b/>
          <w:bCs/>
          <w:color w:val="00718C"/>
        </w:rPr>
        <w:t>Parents</w:t>
      </w:r>
    </w:p>
    <w:p w14:paraId="53E05FA7" w14:textId="6816FF60" w:rsidR="7A4CB856" w:rsidRDefault="7A4CB856" w:rsidP="02AADAB6">
      <w:r>
        <w:t>Parents are informed about further education throughout the school year in the following ways:</w:t>
      </w:r>
    </w:p>
    <w:p w14:paraId="5C0AE801" w14:textId="4A89D4B4" w:rsidR="7A4CB856" w:rsidRDefault="7A4CB856" w:rsidP="02AADAB6">
      <w:pPr>
        <w:pStyle w:val="ListParagraph"/>
        <w:numPr>
          <w:ilvl w:val="0"/>
          <w:numId w:val="9"/>
        </w:numPr>
        <w:rPr>
          <w:rFonts w:eastAsiaTheme="minorEastAsia"/>
          <w:color w:val="BFBFBF" w:themeColor="background1" w:themeShade="BF"/>
        </w:rPr>
      </w:pPr>
      <w:r w:rsidRPr="02AADAB6">
        <w:rPr>
          <w:color w:val="BFBFBF" w:themeColor="background1" w:themeShade="BF"/>
        </w:rPr>
        <w:t>Our ‘Careers Night’ for 5</w:t>
      </w:r>
      <w:r w:rsidRPr="02AADAB6">
        <w:rPr>
          <w:color w:val="BFBFBF" w:themeColor="background1" w:themeShade="BF"/>
          <w:vertAlign w:val="superscript"/>
        </w:rPr>
        <w:t>th</w:t>
      </w:r>
      <w:r w:rsidRPr="02AADAB6">
        <w:rPr>
          <w:color w:val="BFBFBF" w:themeColor="background1" w:themeShade="BF"/>
        </w:rPr>
        <w:t xml:space="preserve"> and 6</w:t>
      </w:r>
      <w:r w:rsidRPr="02AADAB6">
        <w:rPr>
          <w:color w:val="BFBFBF" w:themeColor="background1" w:themeShade="BF"/>
          <w:vertAlign w:val="superscript"/>
        </w:rPr>
        <w:t>th</w:t>
      </w:r>
      <w:r w:rsidRPr="02AADAB6">
        <w:rPr>
          <w:color w:val="BFBFBF" w:themeColor="background1" w:themeShade="BF"/>
        </w:rPr>
        <w:t xml:space="preserve"> year students and their parents takes place in October of each academic year. At this information evening, the Guidance Counsellor outlines the benefits of FE</w:t>
      </w:r>
      <w:r w:rsidR="38A60B5D" w:rsidRPr="02AADAB6">
        <w:rPr>
          <w:color w:val="BFBFBF" w:themeColor="background1" w:themeShade="BF"/>
        </w:rPr>
        <w:t xml:space="preserve"> in her presentation and three of the local FE colleges present options to all attending.</w:t>
      </w:r>
    </w:p>
    <w:p w14:paraId="1CFD6B51" w14:textId="0A11ECA1" w:rsidR="38A60B5D" w:rsidRDefault="38A60B5D" w:rsidP="02AADAB6">
      <w:pPr>
        <w:pStyle w:val="ListParagraph"/>
        <w:numPr>
          <w:ilvl w:val="0"/>
          <w:numId w:val="9"/>
        </w:numPr>
        <w:rPr>
          <w:color w:val="BFBFBF" w:themeColor="background1" w:themeShade="BF"/>
        </w:rPr>
      </w:pPr>
      <w:r w:rsidRPr="02AADAB6">
        <w:rPr>
          <w:color w:val="BFBFBF" w:themeColor="background1" w:themeShade="BF"/>
        </w:rPr>
        <w:lastRenderedPageBreak/>
        <w:t>The school holds a ‘CAO Information Evening’ one month after our careers night for parents of 6</w:t>
      </w:r>
      <w:r w:rsidRPr="02AADAB6">
        <w:rPr>
          <w:color w:val="BFBFBF" w:themeColor="background1" w:themeShade="BF"/>
          <w:vertAlign w:val="superscript"/>
        </w:rPr>
        <w:t>th</w:t>
      </w:r>
      <w:r w:rsidRPr="02AADAB6">
        <w:rPr>
          <w:color w:val="BFBFBF" w:themeColor="background1" w:themeShade="BF"/>
        </w:rPr>
        <w:t xml:space="preserve"> year students. The Guidance Counsellor includes content on colleges of FE and </w:t>
      </w:r>
      <w:r w:rsidR="694CF431" w:rsidRPr="02AADAB6">
        <w:rPr>
          <w:color w:val="BFBFBF" w:themeColor="background1" w:themeShade="BF"/>
        </w:rPr>
        <w:t>d</w:t>
      </w:r>
      <w:r w:rsidRPr="02AADAB6">
        <w:rPr>
          <w:color w:val="BFBFBF" w:themeColor="background1" w:themeShade="BF"/>
        </w:rPr>
        <w:t>etails how a student can</w:t>
      </w:r>
      <w:r w:rsidR="774AF08E" w:rsidRPr="02AADAB6">
        <w:rPr>
          <w:color w:val="BFBFBF" w:themeColor="background1" w:themeShade="BF"/>
        </w:rPr>
        <w:t xml:space="preserve"> (</w:t>
      </w:r>
      <w:r w:rsidR="006E71AA">
        <w:rPr>
          <w:color w:val="BFBFBF" w:themeColor="background1" w:themeShade="BF"/>
        </w:rPr>
        <w:t>i</w:t>
      </w:r>
      <w:r w:rsidR="774AF08E" w:rsidRPr="02AADAB6">
        <w:rPr>
          <w:color w:val="BFBFBF" w:themeColor="background1" w:themeShade="BF"/>
        </w:rPr>
        <w:t>) find out more and (ii) apply.</w:t>
      </w:r>
    </w:p>
    <w:p w14:paraId="31040EB2" w14:textId="54451B04" w:rsidR="774AF08E" w:rsidRDefault="774AF08E" w:rsidP="02AADAB6">
      <w:pPr>
        <w:pStyle w:val="ListParagraph"/>
        <w:numPr>
          <w:ilvl w:val="0"/>
          <w:numId w:val="9"/>
        </w:numPr>
        <w:rPr>
          <w:color w:val="BFBFBF" w:themeColor="background1" w:themeShade="BF"/>
        </w:rPr>
      </w:pPr>
      <w:r w:rsidRPr="02AADAB6">
        <w:rPr>
          <w:color w:val="BFBFBF" w:themeColor="background1" w:themeShade="BF"/>
        </w:rPr>
        <w:t>The school website provides a section of information on colleges of FE</w:t>
      </w:r>
      <w:r w:rsidR="4C7253CE" w:rsidRPr="02AADAB6">
        <w:rPr>
          <w:color w:val="BFBFBF" w:themeColor="background1" w:themeShade="BF"/>
        </w:rPr>
        <w:t>.</w:t>
      </w:r>
    </w:p>
    <w:p w14:paraId="154ECFCE" w14:textId="4F4D8C95" w:rsidR="4C7253CE" w:rsidRDefault="4C7253CE" w:rsidP="02AADAB6">
      <w:pPr>
        <w:pStyle w:val="ListParagraph"/>
        <w:numPr>
          <w:ilvl w:val="0"/>
          <w:numId w:val="9"/>
        </w:numPr>
        <w:rPr>
          <w:color w:val="BFBFBF" w:themeColor="background1" w:themeShade="BF"/>
        </w:rPr>
      </w:pPr>
      <w:r w:rsidRPr="02AADAB6">
        <w:rPr>
          <w:color w:val="BFBFBF" w:themeColor="background1" w:themeShade="BF"/>
        </w:rPr>
        <w:t xml:space="preserve">The school twitter account </w:t>
      </w:r>
      <w:r w:rsidR="7154EB97" w:rsidRPr="02AADAB6">
        <w:rPr>
          <w:color w:val="BFBFBF" w:themeColor="background1" w:themeShade="BF"/>
        </w:rPr>
        <w:t>notifies</w:t>
      </w:r>
      <w:r w:rsidRPr="02AADAB6">
        <w:rPr>
          <w:color w:val="BFBFBF" w:themeColor="background1" w:themeShade="BF"/>
        </w:rPr>
        <w:t xml:space="preserve"> followers of key dates/information concerning local Colleges of FE.</w:t>
      </w:r>
    </w:p>
    <w:p w14:paraId="71406C02" w14:textId="14D9D56E" w:rsidR="38A60B5D" w:rsidRDefault="38A60B5D" w:rsidP="02AADAB6">
      <w:pPr>
        <w:pStyle w:val="ListParagraph"/>
        <w:numPr>
          <w:ilvl w:val="0"/>
          <w:numId w:val="9"/>
        </w:numPr>
        <w:rPr>
          <w:color w:val="BFBFBF" w:themeColor="background1" w:themeShade="BF"/>
        </w:rPr>
      </w:pPr>
      <w:r w:rsidRPr="02AADAB6">
        <w:rPr>
          <w:color w:val="BFBFBF" w:themeColor="background1" w:themeShade="BF"/>
        </w:rPr>
        <w:t xml:space="preserve"> </w:t>
      </w:r>
      <w:r w:rsidR="47B8D520" w:rsidRPr="02AADAB6">
        <w:rPr>
          <w:color w:val="BFBFBF" w:themeColor="background1" w:themeShade="BF"/>
        </w:rPr>
        <w:t xml:space="preserve">The ‘Guidance’ noticeboard is located in the canteen and is visible for all parents during parent teacher meetings and any other events that take place in the school </w:t>
      </w:r>
      <w:r w:rsidR="00D74198" w:rsidRPr="02AADAB6">
        <w:rPr>
          <w:color w:val="BFBFBF" w:themeColor="background1" w:themeShade="BF"/>
        </w:rPr>
        <w:t>e.g.,</w:t>
      </w:r>
      <w:r w:rsidR="47B8D520" w:rsidRPr="02AADAB6">
        <w:rPr>
          <w:color w:val="BFBFBF" w:themeColor="background1" w:themeShade="BF"/>
        </w:rPr>
        <w:t xml:space="preserve"> the Talent competition that takes place each March. </w:t>
      </w:r>
    </w:p>
    <w:p w14:paraId="1163813C" w14:textId="6F078E7E" w:rsidR="7A4CB856" w:rsidRPr="0087050F" w:rsidRDefault="7A4CB856" w:rsidP="02AADAB6">
      <w:pPr>
        <w:rPr>
          <w:b/>
          <w:bCs/>
          <w:color w:val="00718C"/>
        </w:rPr>
      </w:pPr>
      <w:r w:rsidRPr="0087050F">
        <w:rPr>
          <w:b/>
          <w:bCs/>
          <w:color w:val="00718C"/>
        </w:rPr>
        <w:t>Whole School Approach</w:t>
      </w:r>
    </w:p>
    <w:p w14:paraId="23973759" w14:textId="2948874C" w:rsidR="445E638A" w:rsidRDefault="445E638A" w:rsidP="02AADAB6">
      <w:pPr>
        <w:pStyle w:val="ListParagraph"/>
        <w:numPr>
          <w:ilvl w:val="0"/>
          <w:numId w:val="1"/>
        </w:numPr>
        <w:rPr>
          <w:rFonts w:eastAsiaTheme="minorEastAsia"/>
          <w:color w:val="BFBFBF" w:themeColor="background1" w:themeShade="BF"/>
        </w:rPr>
      </w:pPr>
      <w:r w:rsidRPr="02AADAB6">
        <w:rPr>
          <w:color w:val="BFBFBF" w:themeColor="background1" w:themeShade="BF"/>
        </w:rPr>
        <w:t xml:space="preserve">The Guidance Counsellor did a survey with staff a year ago to ascertain how many members attended a college of FE and what course they did. </w:t>
      </w:r>
      <w:r w:rsidR="3660672D" w:rsidRPr="02AADAB6">
        <w:rPr>
          <w:color w:val="BFBFBF" w:themeColor="background1" w:themeShade="BF"/>
        </w:rPr>
        <w:t xml:space="preserve">With the permission of staff members, this information was </w:t>
      </w:r>
      <w:r w:rsidR="284D28FA" w:rsidRPr="02AADAB6">
        <w:rPr>
          <w:color w:val="BFBFBF" w:themeColor="background1" w:themeShade="BF"/>
        </w:rPr>
        <w:t>summarized</w:t>
      </w:r>
      <w:r w:rsidR="3660672D" w:rsidRPr="02AADAB6">
        <w:rPr>
          <w:color w:val="BFBFBF" w:themeColor="background1" w:themeShade="BF"/>
        </w:rPr>
        <w:t xml:space="preserve"> in poster form and is displayed in key locations throughout the school. Students </w:t>
      </w:r>
      <w:r w:rsidR="15B2D9C6" w:rsidRPr="02AADAB6">
        <w:rPr>
          <w:color w:val="BFBFBF" w:themeColor="background1" w:themeShade="BF"/>
        </w:rPr>
        <w:t xml:space="preserve">can ask members of staff about their previous education and pathways into their current roles. </w:t>
      </w:r>
    </w:p>
    <w:p w14:paraId="1F399C8E" w14:textId="7DD16066" w:rsidR="700EDA2C" w:rsidRDefault="700EDA2C" w:rsidP="33890E4E">
      <w:pPr>
        <w:pStyle w:val="ListParagraph"/>
        <w:numPr>
          <w:ilvl w:val="0"/>
          <w:numId w:val="1"/>
        </w:numPr>
        <w:rPr>
          <w:color w:val="BFBFBF" w:themeColor="background1" w:themeShade="BF"/>
        </w:rPr>
      </w:pPr>
      <w:r w:rsidRPr="33890E4E">
        <w:rPr>
          <w:color w:val="BFBFBF" w:themeColor="background1" w:themeShade="BF"/>
        </w:rPr>
        <w:t>Teachers facilitated mock interview for 5</w:t>
      </w:r>
      <w:r w:rsidRPr="33890E4E">
        <w:rPr>
          <w:color w:val="BFBFBF" w:themeColor="background1" w:themeShade="BF"/>
          <w:vertAlign w:val="superscript"/>
        </w:rPr>
        <w:t>th</w:t>
      </w:r>
      <w:r w:rsidRPr="33890E4E">
        <w:rPr>
          <w:color w:val="BFBFBF" w:themeColor="background1" w:themeShade="BF"/>
        </w:rPr>
        <w:t xml:space="preserve"> year students as noted in the table above.</w:t>
      </w:r>
    </w:p>
    <w:p w14:paraId="6314E05D" w14:textId="6193D96A" w:rsidR="1B606DC8" w:rsidRDefault="1B606DC8" w:rsidP="33890E4E">
      <w:pPr>
        <w:pStyle w:val="ListParagraph"/>
        <w:numPr>
          <w:ilvl w:val="0"/>
          <w:numId w:val="1"/>
        </w:numPr>
        <w:rPr>
          <w:color w:val="BFBFBF" w:themeColor="background1" w:themeShade="BF"/>
        </w:rPr>
      </w:pPr>
      <w:r w:rsidRPr="33890E4E">
        <w:rPr>
          <w:color w:val="BFBFBF" w:themeColor="background1" w:themeShade="BF"/>
        </w:rPr>
        <w:t>Guidance Counsellors work with Modern Languages teachers to compile resource on interviewing/ preparing for Oral Assessments.</w:t>
      </w:r>
    </w:p>
    <w:p w14:paraId="12DF4DF2" w14:textId="04716402" w:rsidR="700EDA2C" w:rsidRDefault="700EDA2C" w:rsidP="02AADAB6">
      <w:pPr>
        <w:pStyle w:val="ListParagraph"/>
        <w:numPr>
          <w:ilvl w:val="0"/>
          <w:numId w:val="1"/>
        </w:numPr>
        <w:rPr>
          <w:color w:val="BFBFBF" w:themeColor="background1" w:themeShade="BF"/>
        </w:rPr>
      </w:pPr>
      <w:r w:rsidRPr="02AADAB6">
        <w:rPr>
          <w:color w:val="BFBFBF" w:themeColor="background1" w:themeShade="BF"/>
        </w:rPr>
        <w:t xml:space="preserve">Year heads complete references for students as noted in the table above. </w:t>
      </w:r>
    </w:p>
    <w:p w14:paraId="1497F70B" w14:textId="09FAE83D" w:rsidR="02AADAB6" w:rsidRDefault="02AADAB6" w:rsidP="02AADAB6"/>
    <w:p w14:paraId="2E522311" w14:textId="6C175878" w:rsidR="02AADAB6" w:rsidRDefault="02AADAB6" w:rsidP="02AADAB6"/>
    <w:sectPr w:rsidR="02AADAB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D66A" w14:textId="77777777" w:rsidR="00552626" w:rsidRDefault="00552626" w:rsidP="006C4589">
      <w:pPr>
        <w:spacing w:after="0" w:line="240" w:lineRule="auto"/>
      </w:pPr>
      <w:r>
        <w:separator/>
      </w:r>
    </w:p>
  </w:endnote>
  <w:endnote w:type="continuationSeparator" w:id="0">
    <w:p w14:paraId="10412923" w14:textId="77777777" w:rsidR="00552626" w:rsidRDefault="00552626" w:rsidP="006C4589">
      <w:pPr>
        <w:spacing w:after="0" w:line="240" w:lineRule="auto"/>
      </w:pPr>
      <w:r>
        <w:continuationSeparator/>
      </w:r>
    </w:p>
  </w:endnote>
  <w:endnote w:type="continuationNotice" w:id="1">
    <w:p w14:paraId="13295F7D" w14:textId="77777777" w:rsidR="00552626" w:rsidRDefault="00552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FA04" w14:textId="5C10B740" w:rsidR="00B87BCA" w:rsidRPr="009B453A" w:rsidRDefault="003D49D8" w:rsidP="00B87BCA">
    <w:pPr>
      <w:pStyle w:val="Footer"/>
      <w:jc w:val="center"/>
      <w:rPr>
        <w:b/>
        <w:bCs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8CF9B49" wp14:editId="19113A11">
          <wp:simplePos x="0" y="0"/>
          <wp:positionH relativeFrom="column">
            <wp:posOffset>5207000</wp:posOffset>
          </wp:positionH>
          <wp:positionV relativeFrom="paragraph">
            <wp:posOffset>391795</wp:posOffset>
          </wp:positionV>
          <wp:extent cx="385445" cy="384810"/>
          <wp:effectExtent l="0" t="0" r="0" b="0"/>
          <wp:wrapNone/>
          <wp:docPr id="28" name="Picture 2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ge_motif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br/>
    </w:r>
    <w:r>
      <w:rPr>
        <w:b/>
        <w:bCs/>
      </w:rPr>
      <w:br/>
    </w:r>
    <w:r>
      <w:rPr>
        <w:b/>
        <w:bCs/>
      </w:rPr>
      <w:br/>
    </w:r>
    <w:r w:rsidR="00B87BCA" w:rsidRPr="009B453A">
      <w:rPr>
        <w:b/>
        <w:bCs/>
      </w:rPr>
      <w:t>Developed by the National Centre for Guidance in Education (NCGE)</w:t>
    </w:r>
    <w:r w:rsidR="00B87BCA">
      <w:rPr>
        <w:b/>
        <w:bCs/>
      </w:rPr>
      <w:t xml:space="preserve"> 2022  </w:t>
    </w:r>
  </w:p>
  <w:p w14:paraId="7A48B533" w14:textId="77777777" w:rsidR="00B87BCA" w:rsidRDefault="00B8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804B" w14:textId="77777777" w:rsidR="00552626" w:rsidRDefault="00552626" w:rsidP="006C4589">
      <w:pPr>
        <w:spacing w:after="0" w:line="240" w:lineRule="auto"/>
      </w:pPr>
      <w:r>
        <w:separator/>
      </w:r>
    </w:p>
  </w:footnote>
  <w:footnote w:type="continuationSeparator" w:id="0">
    <w:p w14:paraId="569F51CF" w14:textId="77777777" w:rsidR="00552626" w:rsidRDefault="00552626" w:rsidP="006C4589">
      <w:pPr>
        <w:spacing w:after="0" w:line="240" w:lineRule="auto"/>
      </w:pPr>
      <w:r>
        <w:continuationSeparator/>
      </w:r>
    </w:p>
  </w:footnote>
  <w:footnote w:type="continuationNotice" w:id="1">
    <w:p w14:paraId="0FADF9C8" w14:textId="77777777" w:rsidR="00552626" w:rsidRDefault="00552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3467" w14:textId="7B37113F" w:rsidR="00AD68A4" w:rsidRDefault="005F7AE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1" behindDoc="0" locked="0" layoutInCell="1" allowOverlap="1" wp14:anchorId="43EABBB5" wp14:editId="62D6DC44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3212465" cy="642620"/>
          <wp:effectExtent l="0" t="0" r="6985" b="508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46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D68A4">
          <w:t xml:space="preserve">Page </w:t>
        </w:r>
        <w:r w:rsidR="00AD68A4">
          <w:rPr>
            <w:b/>
            <w:bCs/>
            <w:sz w:val="24"/>
            <w:szCs w:val="24"/>
          </w:rPr>
          <w:fldChar w:fldCharType="begin"/>
        </w:r>
        <w:r w:rsidR="00AD68A4">
          <w:rPr>
            <w:b/>
            <w:bCs/>
          </w:rPr>
          <w:instrText xml:space="preserve"> PAGE </w:instrText>
        </w:r>
        <w:r w:rsidR="00AD68A4">
          <w:rPr>
            <w:b/>
            <w:bCs/>
            <w:sz w:val="24"/>
            <w:szCs w:val="24"/>
          </w:rPr>
          <w:fldChar w:fldCharType="separate"/>
        </w:r>
        <w:r w:rsidR="00437785">
          <w:rPr>
            <w:b/>
            <w:bCs/>
            <w:noProof/>
          </w:rPr>
          <w:t>1</w:t>
        </w:r>
        <w:r w:rsidR="00AD68A4">
          <w:rPr>
            <w:b/>
            <w:bCs/>
            <w:sz w:val="24"/>
            <w:szCs w:val="24"/>
          </w:rPr>
          <w:fldChar w:fldCharType="end"/>
        </w:r>
        <w:r w:rsidR="00AD68A4">
          <w:t xml:space="preserve"> of </w:t>
        </w:r>
        <w:r w:rsidR="00AD68A4">
          <w:rPr>
            <w:b/>
            <w:bCs/>
            <w:sz w:val="24"/>
            <w:szCs w:val="24"/>
          </w:rPr>
          <w:fldChar w:fldCharType="begin"/>
        </w:r>
        <w:r w:rsidR="00AD68A4">
          <w:rPr>
            <w:b/>
            <w:bCs/>
          </w:rPr>
          <w:instrText xml:space="preserve"> NUMPAGES  </w:instrText>
        </w:r>
        <w:r w:rsidR="00AD68A4">
          <w:rPr>
            <w:b/>
            <w:bCs/>
            <w:sz w:val="24"/>
            <w:szCs w:val="24"/>
          </w:rPr>
          <w:fldChar w:fldCharType="separate"/>
        </w:r>
        <w:r w:rsidR="00437785">
          <w:rPr>
            <w:b/>
            <w:bCs/>
            <w:noProof/>
          </w:rPr>
          <w:t>1</w:t>
        </w:r>
        <w:r w:rsidR="00AD68A4">
          <w:rPr>
            <w:b/>
            <w:bCs/>
            <w:sz w:val="24"/>
            <w:szCs w:val="24"/>
          </w:rPr>
          <w:fldChar w:fldCharType="end"/>
        </w:r>
      </w:sdtContent>
    </w:sdt>
    <w:r w:rsidR="00AD68A4">
      <w:t xml:space="preserve"> </w:t>
    </w:r>
  </w:p>
  <w:p w14:paraId="3AC6E98C" w14:textId="5318ACB3" w:rsidR="006C4589" w:rsidRDefault="006C4589" w:rsidP="00AB72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7CD"/>
    <w:multiLevelType w:val="hybridMultilevel"/>
    <w:tmpl w:val="9E62C108"/>
    <w:lvl w:ilvl="0" w:tplc="D6622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8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CE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C7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F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62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5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6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8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C0"/>
    <w:multiLevelType w:val="hybridMultilevel"/>
    <w:tmpl w:val="4C64FDE0"/>
    <w:lvl w:ilvl="0" w:tplc="14F0A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62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C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4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E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46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A3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0F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AB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EED"/>
    <w:multiLevelType w:val="hybridMultilevel"/>
    <w:tmpl w:val="A2E49776"/>
    <w:lvl w:ilvl="0" w:tplc="0848F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086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E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3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05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A4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4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2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4BF"/>
    <w:multiLevelType w:val="hybridMultilevel"/>
    <w:tmpl w:val="F40C108A"/>
    <w:lvl w:ilvl="0" w:tplc="0268AF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EC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4B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2B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5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C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A1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0687"/>
    <w:multiLevelType w:val="hybridMultilevel"/>
    <w:tmpl w:val="0F1ABFF4"/>
    <w:lvl w:ilvl="0" w:tplc="6C86CD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08E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E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6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27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49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4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5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A5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755F"/>
    <w:multiLevelType w:val="hybridMultilevel"/>
    <w:tmpl w:val="0FB29C70"/>
    <w:lvl w:ilvl="0" w:tplc="125A8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A9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8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AF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6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41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A8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E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A0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1C0E"/>
    <w:multiLevelType w:val="hybridMultilevel"/>
    <w:tmpl w:val="D848FFCA"/>
    <w:lvl w:ilvl="0" w:tplc="AAE6AA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A2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00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CC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46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C0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8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64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6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234B"/>
    <w:multiLevelType w:val="hybridMultilevel"/>
    <w:tmpl w:val="6D84F23E"/>
    <w:lvl w:ilvl="0" w:tplc="C5480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0F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0B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2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E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3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6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67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CE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B5D"/>
    <w:multiLevelType w:val="hybridMultilevel"/>
    <w:tmpl w:val="0A388BD8"/>
    <w:lvl w:ilvl="0" w:tplc="6F883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A6B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49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42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2E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E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A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2D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C36EAD"/>
    <w:rsid w:val="000012DE"/>
    <w:rsid w:val="000C07C0"/>
    <w:rsid w:val="00131FD6"/>
    <w:rsid w:val="002A342D"/>
    <w:rsid w:val="003D49D8"/>
    <w:rsid w:val="00437785"/>
    <w:rsid w:val="004D131F"/>
    <w:rsid w:val="00552626"/>
    <w:rsid w:val="00566D53"/>
    <w:rsid w:val="00576472"/>
    <w:rsid w:val="005B0369"/>
    <w:rsid w:val="005F7AED"/>
    <w:rsid w:val="0062643B"/>
    <w:rsid w:val="00633D9D"/>
    <w:rsid w:val="00641D51"/>
    <w:rsid w:val="0067251C"/>
    <w:rsid w:val="006C4589"/>
    <w:rsid w:val="006E71AA"/>
    <w:rsid w:val="008062FA"/>
    <w:rsid w:val="0087050F"/>
    <w:rsid w:val="009620D6"/>
    <w:rsid w:val="009C77BB"/>
    <w:rsid w:val="00AB7280"/>
    <w:rsid w:val="00AD68A4"/>
    <w:rsid w:val="00B15FAA"/>
    <w:rsid w:val="00B42237"/>
    <w:rsid w:val="00B65C38"/>
    <w:rsid w:val="00B87BCA"/>
    <w:rsid w:val="00CB51F0"/>
    <w:rsid w:val="00CE14AD"/>
    <w:rsid w:val="00D74198"/>
    <w:rsid w:val="00E251A4"/>
    <w:rsid w:val="00E28FF7"/>
    <w:rsid w:val="00E469B8"/>
    <w:rsid w:val="00E529FB"/>
    <w:rsid w:val="00E9702F"/>
    <w:rsid w:val="00ED0BE7"/>
    <w:rsid w:val="00F63833"/>
    <w:rsid w:val="00FC0275"/>
    <w:rsid w:val="02AADAB6"/>
    <w:rsid w:val="04CEA0B7"/>
    <w:rsid w:val="066A7118"/>
    <w:rsid w:val="07FE53F3"/>
    <w:rsid w:val="088A5D67"/>
    <w:rsid w:val="0C25945B"/>
    <w:rsid w:val="0DC58809"/>
    <w:rsid w:val="0F51571B"/>
    <w:rsid w:val="0F5D351D"/>
    <w:rsid w:val="0F66ECD3"/>
    <w:rsid w:val="0FC36EAD"/>
    <w:rsid w:val="10551B5D"/>
    <w:rsid w:val="121D2270"/>
    <w:rsid w:val="1287BE55"/>
    <w:rsid w:val="131DC79E"/>
    <w:rsid w:val="15B2D9C6"/>
    <w:rsid w:val="16556860"/>
    <w:rsid w:val="17684702"/>
    <w:rsid w:val="17F138C1"/>
    <w:rsid w:val="1A9FE7C4"/>
    <w:rsid w:val="1B606DC8"/>
    <w:rsid w:val="1D1D9C21"/>
    <w:rsid w:val="1ECB4B79"/>
    <w:rsid w:val="210211BE"/>
    <w:rsid w:val="22A7092D"/>
    <w:rsid w:val="23CB7F94"/>
    <w:rsid w:val="2439B280"/>
    <w:rsid w:val="2515869E"/>
    <w:rsid w:val="26A34B46"/>
    <w:rsid w:val="26BD3501"/>
    <w:rsid w:val="278285D8"/>
    <w:rsid w:val="284D28FA"/>
    <w:rsid w:val="2C5FB2A4"/>
    <w:rsid w:val="2DE91C3C"/>
    <w:rsid w:val="2EC846E6"/>
    <w:rsid w:val="2EFAA238"/>
    <w:rsid w:val="301C5D99"/>
    <w:rsid w:val="31183588"/>
    <w:rsid w:val="3169F4FB"/>
    <w:rsid w:val="31FFE7A8"/>
    <w:rsid w:val="33890E4E"/>
    <w:rsid w:val="352A70E0"/>
    <w:rsid w:val="3537886A"/>
    <w:rsid w:val="3660672D"/>
    <w:rsid w:val="374C593D"/>
    <w:rsid w:val="387716B2"/>
    <w:rsid w:val="38A60B5D"/>
    <w:rsid w:val="398C95D2"/>
    <w:rsid w:val="3B5C40FA"/>
    <w:rsid w:val="3EDE6AB0"/>
    <w:rsid w:val="421E26F5"/>
    <w:rsid w:val="437EE1D1"/>
    <w:rsid w:val="43B1DBD3"/>
    <w:rsid w:val="445E42BB"/>
    <w:rsid w:val="445E638A"/>
    <w:rsid w:val="454094AA"/>
    <w:rsid w:val="47B8D520"/>
    <w:rsid w:val="4856F5D5"/>
    <w:rsid w:val="4878356C"/>
    <w:rsid w:val="497EE883"/>
    <w:rsid w:val="49E57835"/>
    <w:rsid w:val="4AE90E32"/>
    <w:rsid w:val="4BAFD62E"/>
    <w:rsid w:val="4BC4DB3E"/>
    <w:rsid w:val="4C7253CE"/>
    <w:rsid w:val="4D95D8FC"/>
    <w:rsid w:val="4ED63C19"/>
    <w:rsid w:val="4EFC7C00"/>
    <w:rsid w:val="50C207A1"/>
    <w:rsid w:val="51DA4AB5"/>
    <w:rsid w:val="52341CC2"/>
    <w:rsid w:val="53A9AD3C"/>
    <w:rsid w:val="53C2D599"/>
    <w:rsid w:val="556BBD84"/>
    <w:rsid w:val="57078DE5"/>
    <w:rsid w:val="5F9F85B7"/>
    <w:rsid w:val="640A9C3C"/>
    <w:rsid w:val="64A78326"/>
    <w:rsid w:val="66276B09"/>
    <w:rsid w:val="66435387"/>
    <w:rsid w:val="665C7BE4"/>
    <w:rsid w:val="6674E4C5"/>
    <w:rsid w:val="66CC4546"/>
    <w:rsid w:val="68BC51B8"/>
    <w:rsid w:val="694CF431"/>
    <w:rsid w:val="696DDCBF"/>
    <w:rsid w:val="69941CA6"/>
    <w:rsid w:val="6B09AD20"/>
    <w:rsid w:val="6C5E7965"/>
    <w:rsid w:val="6F98E124"/>
    <w:rsid w:val="700EDA2C"/>
    <w:rsid w:val="70D2A925"/>
    <w:rsid w:val="7154EB97"/>
    <w:rsid w:val="71921701"/>
    <w:rsid w:val="72C50FC9"/>
    <w:rsid w:val="733AFEEC"/>
    <w:rsid w:val="751BF8F8"/>
    <w:rsid w:val="75D86B14"/>
    <w:rsid w:val="76B7C5E8"/>
    <w:rsid w:val="774AF08E"/>
    <w:rsid w:val="79840089"/>
    <w:rsid w:val="7A4CB856"/>
    <w:rsid w:val="7B1FD0EA"/>
    <w:rsid w:val="7B27BE70"/>
    <w:rsid w:val="7B38F947"/>
    <w:rsid w:val="7D6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6EAD"/>
  <w15:chartTrackingRefBased/>
  <w15:docId w15:val="{51BC2D34-D897-4E34-A702-9DCDD00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89"/>
  </w:style>
  <w:style w:type="paragraph" w:styleId="Footer">
    <w:name w:val="footer"/>
    <w:basedOn w:val="Normal"/>
    <w:link w:val="FooterChar"/>
    <w:uiPriority w:val="99"/>
    <w:unhideWhenUsed/>
    <w:rsid w:val="006C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89"/>
  </w:style>
  <w:style w:type="character" w:customStyle="1" w:styleId="Heading1Char">
    <w:name w:val="Heading 1 Char"/>
    <w:basedOn w:val="DefaultParagraphFont"/>
    <w:link w:val="Heading1"/>
    <w:uiPriority w:val="9"/>
    <w:rsid w:val="00F63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ge.ie/resource/guidance-related-learning-resources-junior-cycl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ge.ie/resource/applying-to-higher-education-from-further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EAE0C03AA2D4B817B6AE9AF614266" ma:contentTypeVersion="18" ma:contentTypeDescription="Create a new document." ma:contentTypeScope="" ma:versionID="61e7a014a86648305a4275f88481d73c">
  <xsd:schema xmlns:xsd="http://www.w3.org/2001/XMLSchema" xmlns:xs="http://www.w3.org/2001/XMLSchema" xmlns:p="http://schemas.microsoft.com/office/2006/metadata/properties" xmlns:ns2="3e735889-7209-4482-b260-04306be312ef" xmlns:ns3="ececc115-e4ce-4256-9d14-d7117e8bc39b" targetNamespace="http://schemas.microsoft.com/office/2006/metadata/properties" ma:root="true" ma:fieldsID="8e89928484d00b8cb8b6a7c3c97ceb85" ns2:_="" ns3:_="">
    <xsd:import namespace="3e735889-7209-4482-b260-04306be312ef"/>
    <xsd:import namespace="ececc115-e4ce-4256-9d14-d7117e8bc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atu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5889-7209-4482-b260-04306be31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scription="Select Publish to send a copy to CE Forum" ma:format="Dropdown" ma:internalName="Status">
      <xsd:simpleType>
        <xsd:restriction base="dms:Choice">
          <xsd:enumeration value="Publlished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2b34b2-806d-487e-8730-e74879283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25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c115-e4ce-4256-9d14-d7117e8bc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ae5cf7-519d-48dc-ba4c-1b7df368c0f5}" ma:internalName="TaxCatchAll" ma:showField="CatchAllData" ma:web="ececc115-e4ce-4256-9d14-d7117e8bc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ecc115-e4ce-4256-9d14-d7117e8bc39b" xsi:nil="true"/>
    <Status xmlns="3e735889-7209-4482-b260-04306be312ef" xsi:nil="true"/>
    <lcf76f155ced4ddcb4097134ff3c332f xmlns="3e735889-7209-4482-b260-04306be312ef">
      <Terms xmlns="http://schemas.microsoft.com/office/infopath/2007/PartnerControls"/>
    </lcf76f155ced4ddcb4097134ff3c332f>
    <Category xmlns="3e735889-7209-4482-b260-04306be312ef" xsi:nil="true"/>
  </documentManagement>
</p:properties>
</file>

<file path=customXml/itemProps1.xml><?xml version="1.0" encoding="utf-8"?>
<ds:datastoreItem xmlns:ds="http://schemas.openxmlformats.org/officeDocument/2006/customXml" ds:itemID="{D34B5D52-AED4-488B-9F45-9E97FA4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24AB3-4630-446C-B704-18FF45DAAE0D}"/>
</file>

<file path=customXml/itemProps3.xml><?xml version="1.0" encoding="utf-8"?>
<ds:datastoreItem xmlns:ds="http://schemas.openxmlformats.org/officeDocument/2006/customXml" ds:itemID="{0E6B0C79-31A4-4334-B64C-D6D697888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Guildea</dc:creator>
  <cp:keywords/>
  <dc:description/>
  <cp:lastModifiedBy>McGrane, Aoife</cp:lastModifiedBy>
  <cp:revision>2</cp:revision>
  <dcterms:created xsi:type="dcterms:W3CDTF">2022-08-23T13:06:00Z</dcterms:created>
  <dcterms:modified xsi:type="dcterms:W3CDTF">2022-08-23T13:06:00Z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0x010100C6BEAE0C03AA2D4B817B6AE9AF614266</vt:lpwstr>
  </property>
</Properties>
</file>