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314"/>
        <w:gridCol w:w="2698"/>
        <w:gridCol w:w="3504"/>
      </w:tblGrid>
      <w:tr w:rsidR="00AD063D" w:rsidRPr="005F597B" w:rsidTr="00063A40">
        <w:trPr>
          <w:trHeight w:val="831"/>
          <w:tblCellSpacing w:w="0" w:type="dxa"/>
        </w:trPr>
        <w:tc>
          <w:tcPr>
            <w:tcW w:w="1116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A938B3" w:rsidRPr="005F597B" w:rsidRDefault="00C41A53" w:rsidP="00206620">
            <w:pPr>
              <w:jc w:val="center"/>
              <w:rPr>
                <w:bCs/>
                <w:sz w:val="32"/>
                <w:szCs w:val="32"/>
                <w:lang w:val="en-GB"/>
              </w:rPr>
            </w:pPr>
            <w:r w:rsidRPr="005F597B">
              <w:rPr>
                <w:bCs/>
                <w:sz w:val="32"/>
                <w:szCs w:val="32"/>
                <w:lang w:val="en-GB"/>
              </w:rPr>
              <w:t>QUALITY FRAMEWORK</w:t>
            </w:r>
            <w:r w:rsidR="00E30C49" w:rsidRPr="005F597B">
              <w:rPr>
                <w:bCs/>
                <w:sz w:val="32"/>
                <w:szCs w:val="32"/>
                <w:lang w:val="en-GB"/>
              </w:rPr>
              <w:t xml:space="preserve"> PILLARS</w:t>
            </w:r>
          </w:p>
          <w:p w:rsidR="000A1FF7" w:rsidRPr="005F597B" w:rsidRDefault="00C41A53" w:rsidP="00C41A53">
            <w:pPr>
              <w:jc w:val="center"/>
              <w:rPr>
                <w:sz w:val="32"/>
                <w:szCs w:val="32"/>
                <w:lang w:val="en-IE"/>
              </w:rPr>
            </w:pPr>
            <w:r w:rsidRPr="005F597B">
              <w:rPr>
                <w:sz w:val="32"/>
                <w:szCs w:val="32"/>
                <w:lang w:val="en-IE"/>
              </w:rPr>
              <w:t>Q</w:t>
            </w:r>
            <w:r w:rsidR="003E3F71" w:rsidRPr="005F597B">
              <w:rPr>
                <w:sz w:val="32"/>
                <w:szCs w:val="32"/>
                <w:lang w:val="en-IE"/>
              </w:rPr>
              <w:t xml:space="preserve">uality Standard Areas </w:t>
            </w:r>
            <w:r w:rsidR="00364E5B" w:rsidRPr="005F597B">
              <w:rPr>
                <w:sz w:val="32"/>
                <w:szCs w:val="32"/>
                <w:lang w:val="en-IE"/>
              </w:rPr>
              <w:t>201</w:t>
            </w:r>
            <w:r w:rsidR="007473EE">
              <w:rPr>
                <w:sz w:val="32"/>
                <w:szCs w:val="32"/>
                <w:lang w:val="en-IE"/>
              </w:rPr>
              <w:t>9</w:t>
            </w:r>
          </w:p>
        </w:tc>
      </w:tr>
      <w:tr w:rsidR="00377373" w:rsidRPr="005F597B" w:rsidTr="00063A40">
        <w:trPr>
          <w:trHeight w:val="60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377373" w:rsidRPr="005F597B" w:rsidRDefault="00377373" w:rsidP="00206620">
            <w:pPr>
              <w:jc w:val="center"/>
              <w:rPr>
                <w:sz w:val="32"/>
                <w:szCs w:val="32"/>
              </w:rPr>
            </w:pPr>
            <w:r w:rsidRPr="005F597B">
              <w:rPr>
                <w:bCs/>
                <w:sz w:val="32"/>
                <w:szCs w:val="32"/>
                <w:lang w:val="en-GB"/>
              </w:rPr>
              <w:t>Organisational Management</w:t>
            </w:r>
          </w:p>
        </w:tc>
        <w:tc>
          <w:tcPr>
            <w:tcW w:w="2314" w:type="dxa"/>
            <w:shd w:val="clear" w:color="auto" w:fill="FFFFFF" w:themeFill="background1"/>
          </w:tcPr>
          <w:p w:rsidR="00377373" w:rsidRPr="005F597B" w:rsidRDefault="00377373" w:rsidP="00206620">
            <w:pPr>
              <w:jc w:val="center"/>
              <w:rPr>
                <w:sz w:val="32"/>
                <w:szCs w:val="32"/>
              </w:rPr>
            </w:pPr>
            <w:r w:rsidRPr="005F597B">
              <w:rPr>
                <w:bCs/>
                <w:sz w:val="32"/>
                <w:szCs w:val="32"/>
                <w:lang w:val="en-GB"/>
              </w:rPr>
              <w:t>Personnel and Development</w:t>
            </w:r>
          </w:p>
        </w:tc>
        <w:tc>
          <w:tcPr>
            <w:tcW w:w="2698" w:type="dxa"/>
            <w:shd w:val="clear" w:color="auto" w:fill="FFFFFF" w:themeFill="background1"/>
          </w:tcPr>
          <w:p w:rsidR="00377373" w:rsidRPr="005F597B" w:rsidRDefault="00377373" w:rsidP="00206620">
            <w:pPr>
              <w:jc w:val="center"/>
              <w:rPr>
                <w:sz w:val="32"/>
                <w:szCs w:val="32"/>
              </w:rPr>
            </w:pPr>
            <w:r w:rsidRPr="005F597B">
              <w:rPr>
                <w:bCs/>
                <w:sz w:val="32"/>
                <w:szCs w:val="32"/>
                <w:lang w:val="en-GB"/>
              </w:rPr>
              <w:t>Learning Environment</w:t>
            </w:r>
          </w:p>
        </w:tc>
        <w:tc>
          <w:tcPr>
            <w:tcW w:w="3504" w:type="dxa"/>
            <w:shd w:val="clear" w:color="auto" w:fill="FFFFFF" w:themeFill="background1"/>
          </w:tcPr>
          <w:p w:rsidR="00377373" w:rsidRPr="005F597B" w:rsidRDefault="00377373" w:rsidP="00206620">
            <w:pPr>
              <w:jc w:val="center"/>
              <w:rPr>
                <w:sz w:val="32"/>
                <w:szCs w:val="32"/>
              </w:rPr>
            </w:pPr>
            <w:r w:rsidRPr="005F597B">
              <w:rPr>
                <w:bCs/>
                <w:sz w:val="32"/>
                <w:szCs w:val="32"/>
                <w:lang w:val="en-GB"/>
              </w:rPr>
              <w:t>Programme</w:t>
            </w:r>
          </w:p>
        </w:tc>
      </w:tr>
      <w:tr w:rsidR="00377373" w:rsidRPr="005F597B" w:rsidTr="00C56C5C">
        <w:trPr>
          <w:trHeight w:val="480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377373" w:rsidRPr="005F597B" w:rsidRDefault="00377373" w:rsidP="00F16808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1. Etho</w:t>
            </w:r>
            <w:r w:rsidR="00F16808" w:rsidRPr="005F597B">
              <w:rPr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2314" w:type="dxa"/>
            <w:shd w:val="clear" w:color="auto" w:fill="DBF6B9" w:themeFill="accent3" w:themeFillTint="66"/>
          </w:tcPr>
          <w:p w:rsidR="00377373" w:rsidRPr="005F597B" w:rsidRDefault="002749AC" w:rsidP="00F16808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10</w:t>
            </w:r>
            <w:r w:rsidR="00377373" w:rsidRPr="005F597B">
              <w:rPr>
                <w:bCs/>
                <w:sz w:val="28"/>
                <w:szCs w:val="28"/>
                <w:lang w:val="en-GB"/>
              </w:rPr>
              <w:t>. Staff Team</w:t>
            </w:r>
            <w:r w:rsidR="00286BF9" w:rsidRPr="005F597B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8" w:type="dxa"/>
            <w:shd w:val="clear" w:color="auto" w:fill="DBF6B9" w:themeFill="accent3" w:themeFillTint="66"/>
          </w:tcPr>
          <w:p w:rsidR="00377373" w:rsidRPr="005F597B" w:rsidRDefault="00364E5B" w:rsidP="007473EE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18</w:t>
            </w:r>
            <w:r w:rsidR="00F518E6" w:rsidRPr="005F597B">
              <w:rPr>
                <w:bCs/>
                <w:sz w:val="28"/>
                <w:szCs w:val="28"/>
                <w:lang w:val="en-GB"/>
              </w:rPr>
              <w:t>.</w:t>
            </w:r>
            <w:r w:rsidR="0024329E" w:rsidRPr="005F597B">
              <w:rPr>
                <w:bCs/>
                <w:sz w:val="28"/>
                <w:szCs w:val="28"/>
                <w:lang w:val="en-GB"/>
              </w:rPr>
              <w:t xml:space="preserve"> </w:t>
            </w:r>
            <w:r w:rsidR="007473EE">
              <w:rPr>
                <w:bCs/>
                <w:sz w:val="28"/>
                <w:szCs w:val="28"/>
                <w:lang w:val="en-GB"/>
              </w:rPr>
              <w:t>Child Protection and Safeguarding Policies and Practices</w:t>
            </w:r>
          </w:p>
        </w:tc>
        <w:tc>
          <w:tcPr>
            <w:tcW w:w="3504" w:type="dxa"/>
            <w:shd w:val="clear" w:color="auto" w:fill="DBF6B9" w:themeFill="accent3" w:themeFillTint="66"/>
          </w:tcPr>
          <w:p w:rsidR="00377373" w:rsidRPr="005F597B" w:rsidRDefault="00F500B2" w:rsidP="0024329E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 xml:space="preserve">22. </w:t>
            </w:r>
            <w:proofErr w:type="spellStart"/>
            <w:r w:rsidRPr="005F597B">
              <w:rPr>
                <w:sz w:val="28"/>
                <w:szCs w:val="28"/>
              </w:rPr>
              <w:t>Programme</w:t>
            </w:r>
            <w:proofErr w:type="spellEnd"/>
            <w:r w:rsidRPr="005F597B">
              <w:rPr>
                <w:sz w:val="28"/>
                <w:szCs w:val="28"/>
              </w:rPr>
              <w:t xml:space="preserve"> Development Delivery and Review</w:t>
            </w:r>
          </w:p>
        </w:tc>
      </w:tr>
      <w:tr w:rsidR="00F500B2" w:rsidRPr="005F597B" w:rsidTr="00C56C5C">
        <w:trPr>
          <w:trHeight w:val="480"/>
          <w:tblCellSpacing w:w="0" w:type="dxa"/>
        </w:trPr>
        <w:tc>
          <w:tcPr>
            <w:tcW w:w="2644" w:type="dxa"/>
            <w:shd w:val="clear" w:color="auto" w:fill="F9B2A7" w:themeFill="accent6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2. Planning and Evaluation</w:t>
            </w:r>
          </w:p>
        </w:tc>
        <w:tc>
          <w:tcPr>
            <w:tcW w:w="231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11. Staff Recruitment and Induction</w:t>
            </w:r>
          </w:p>
        </w:tc>
        <w:tc>
          <w:tcPr>
            <w:tcW w:w="2698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19. Code of Behaviour </w:t>
            </w:r>
          </w:p>
        </w:tc>
        <w:tc>
          <w:tcPr>
            <w:tcW w:w="3504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23.Teaching and Learning </w:t>
            </w:r>
          </w:p>
        </w:tc>
      </w:tr>
      <w:tr w:rsidR="00F500B2" w:rsidRPr="005F597B" w:rsidTr="00C56C5C">
        <w:trPr>
          <w:trHeight w:val="525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bCs/>
                <w:color w:val="FF0000"/>
                <w:sz w:val="28"/>
                <w:szCs w:val="28"/>
                <w:lang w:val="en-GB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3. Communications and Links with the Community</w:t>
            </w:r>
          </w:p>
        </w:tc>
        <w:tc>
          <w:tcPr>
            <w:tcW w:w="231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12. Staff Development and Training</w:t>
            </w:r>
          </w:p>
        </w:tc>
        <w:tc>
          <w:tcPr>
            <w:tcW w:w="2698" w:type="dxa"/>
            <w:shd w:val="clear" w:color="auto" w:fill="F9B2A7" w:themeFill="accent6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20. Equality and </w:t>
            </w:r>
            <w:proofErr w:type="spellStart"/>
            <w:r w:rsidRPr="005F597B">
              <w:rPr>
                <w:bCs/>
                <w:sz w:val="28"/>
                <w:szCs w:val="28"/>
                <w:lang w:val="en-GB"/>
              </w:rPr>
              <w:t>Interculturalism</w:t>
            </w:r>
            <w:proofErr w:type="spellEnd"/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24. Recruitment of </w:t>
            </w:r>
            <w:r w:rsidR="007473EE">
              <w:rPr>
                <w:bCs/>
                <w:sz w:val="28"/>
                <w:szCs w:val="28"/>
                <w:lang w:val="en-GB"/>
              </w:rPr>
              <w:t>Learner</w:t>
            </w:r>
            <w:r w:rsidRPr="005F597B">
              <w:rPr>
                <w:bCs/>
                <w:sz w:val="28"/>
                <w:szCs w:val="28"/>
                <w:lang w:val="en-GB"/>
              </w:rPr>
              <w:t xml:space="preserve">s  and Admission </w:t>
            </w:r>
          </w:p>
        </w:tc>
      </w:tr>
      <w:tr w:rsidR="00F500B2" w:rsidRPr="005F597B" w:rsidTr="00C56C5C">
        <w:trPr>
          <w:trHeight w:val="480"/>
          <w:tblCellSpacing w:w="0" w:type="dxa"/>
        </w:trPr>
        <w:tc>
          <w:tcPr>
            <w:tcW w:w="2644" w:type="dxa"/>
            <w:shd w:val="clear" w:color="auto" w:fill="BFBFBF" w:themeFill="background1" w:themeFillShade="BF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4. Transparency and Accountability</w:t>
            </w:r>
          </w:p>
        </w:tc>
        <w:tc>
          <w:tcPr>
            <w:tcW w:w="231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13. Staff Support</w:t>
            </w:r>
          </w:p>
        </w:tc>
        <w:tc>
          <w:tcPr>
            <w:tcW w:w="2698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 xml:space="preserve">21. </w:t>
            </w:r>
            <w:r w:rsidR="005F597B" w:rsidRPr="005F597B">
              <w:rPr>
                <w:sz w:val="28"/>
                <w:szCs w:val="28"/>
              </w:rPr>
              <w:t>Implementation and Evaluation of a systematic approach to Soft Skills Development</w:t>
            </w: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25. Initial Assessment Induction and Review </w:t>
            </w:r>
          </w:p>
        </w:tc>
      </w:tr>
      <w:tr w:rsidR="00F500B2" w:rsidRPr="005F597B" w:rsidTr="00C56C5C">
        <w:trPr>
          <w:trHeight w:val="480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5. Administration and Financial Management</w:t>
            </w:r>
          </w:p>
          <w:p w:rsidR="00554D0A" w:rsidRPr="005F597B" w:rsidRDefault="00554D0A" w:rsidP="00F500B2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>14. Critical Incident Planning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26. Learning Assessment and Certification </w:t>
            </w:r>
          </w:p>
        </w:tc>
      </w:tr>
      <w:tr w:rsidR="00F500B2" w:rsidRPr="005F597B" w:rsidTr="00C56C5C">
        <w:trPr>
          <w:trHeight w:val="480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6. Record Keeping</w:t>
            </w:r>
          </w:p>
        </w:tc>
        <w:tc>
          <w:tcPr>
            <w:tcW w:w="2314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 xml:space="preserve">15. Support Services and Practices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27. Support Structures for </w:t>
            </w:r>
            <w:r w:rsidR="007473EE">
              <w:rPr>
                <w:bCs/>
                <w:sz w:val="28"/>
                <w:szCs w:val="28"/>
                <w:lang w:val="en-GB"/>
              </w:rPr>
              <w:t>Learner</w:t>
            </w:r>
            <w:r w:rsidRPr="005F597B">
              <w:rPr>
                <w:bCs/>
                <w:sz w:val="28"/>
                <w:szCs w:val="28"/>
                <w:lang w:val="en-GB"/>
              </w:rPr>
              <w:t xml:space="preserve">s  </w:t>
            </w:r>
          </w:p>
        </w:tc>
      </w:tr>
      <w:tr w:rsidR="00F500B2" w:rsidRPr="005F597B" w:rsidTr="00C56C5C">
        <w:trPr>
          <w:trHeight w:val="525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7. Health and Safety</w:t>
            </w:r>
          </w:p>
        </w:tc>
        <w:tc>
          <w:tcPr>
            <w:tcW w:w="2314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 xml:space="preserve">16. Implementation of the WEB Wheel model in </w:t>
            </w:r>
            <w:proofErr w:type="spellStart"/>
            <w:r w:rsidRPr="005F597B"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A6A6A6" w:themeFill="background1" w:themeFillShade="A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28. Language, Literacy and Numeracy </w:t>
            </w:r>
          </w:p>
        </w:tc>
      </w:tr>
      <w:tr w:rsidR="00F500B2" w:rsidRPr="005F597B" w:rsidTr="00C56C5C">
        <w:trPr>
          <w:trHeight w:val="285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8. Premises</w:t>
            </w:r>
          </w:p>
        </w:tc>
        <w:tc>
          <w:tcPr>
            <w:tcW w:w="2314" w:type="dxa"/>
            <w:shd w:val="clear" w:color="auto" w:fill="B4DCFA" w:themeFill="background2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sz w:val="28"/>
                <w:szCs w:val="28"/>
              </w:rPr>
              <w:t xml:space="preserve">17. Evaluation of the SEN Initiative in SENI </w:t>
            </w:r>
            <w:proofErr w:type="spellStart"/>
            <w:r w:rsidRPr="005F597B">
              <w:rPr>
                <w:sz w:val="28"/>
                <w:szCs w:val="28"/>
              </w:rPr>
              <w:t>centres</w:t>
            </w:r>
            <w:proofErr w:type="spellEnd"/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29. Social Personal and Health Education </w:t>
            </w:r>
          </w:p>
        </w:tc>
      </w:tr>
      <w:tr w:rsidR="00F500B2" w:rsidRPr="005F597B" w:rsidTr="00C56C5C">
        <w:trPr>
          <w:trHeight w:val="351"/>
          <w:tblCellSpacing w:w="0" w:type="dxa"/>
        </w:trPr>
        <w:tc>
          <w:tcPr>
            <w:tcW w:w="264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9. Equipment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>30. Work Experience</w:t>
            </w:r>
            <w:bookmarkStart w:id="0" w:name="_GoBack"/>
            <w:bookmarkEnd w:id="0"/>
          </w:p>
        </w:tc>
      </w:tr>
      <w:tr w:rsidR="00F500B2" w:rsidRPr="005F597B" w:rsidTr="00C56C5C">
        <w:trPr>
          <w:trHeight w:val="351"/>
          <w:tblCellSpacing w:w="0" w:type="dxa"/>
        </w:trPr>
        <w:tc>
          <w:tcPr>
            <w:tcW w:w="2644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314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F500B2" w:rsidRPr="005F597B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DBF6B9" w:themeFill="accent3" w:themeFillTint="66"/>
          </w:tcPr>
          <w:p w:rsidR="00F500B2" w:rsidRPr="005F597B" w:rsidRDefault="00F500B2" w:rsidP="00F500B2">
            <w:pPr>
              <w:rPr>
                <w:sz w:val="28"/>
                <w:szCs w:val="28"/>
              </w:rPr>
            </w:pPr>
            <w:r w:rsidRPr="005F597B">
              <w:rPr>
                <w:bCs/>
                <w:sz w:val="28"/>
                <w:szCs w:val="28"/>
                <w:lang w:val="en-GB"/>
              </w:rPr>
              <w:t xml:space="preserve">31. Transfer and Progression </w:t>
            </w:r>
          </w:p>
        </w:tc>
      </w:tr>
    </w:tbl>
    <w:p w:rsidR="00F579BD" w:rsidRPr="005F597B" w:rsidRDefault="004F7078" w:rsidP="00C56C5C">
      <w:pPr>
        <w:pBdr>
          <w:bar w:val="single" w:sz="4" w:color="auto"/>
        </w:pBdr>
        <w:shd w:val="clear" w:color="auto" w:fill="DBF6B9" w:themeFill="accent3" w:themeFillTint="66"/>
        <w:rPr>
          <w:sz w:val="32"/>
          <w:szCs w:val="32"/>
        </w:rPr>
      </w:pPr>
      <w:r w:rsidRPr="005F597B">
        <w:rPr>
          <w:sz w:val="32"/>
          <w:szCs w:val="32"/>
        </w:rPr>
        <w:t xml:space="preserve">21 </w:t>
      </w:r>
      <w:r w:rsidR="00F500B2" w:rsidRPr="005F597B">
        <w:rPr>
          <w:sz w:val="32"/>
          <w:szCs w:val="32"/>
        </w:rPr>
        <w:t>Headings unchanged</w:t>
      </w:r>
    </w:p>
    <w:p w:rsidR="00F579BD" w:rsidRPr="005F597B" w:rsidRDefault="004F7078">
      <w:pPr>
        <w:rPr>
          <w:sz w:val="32"/>
          <w:szCs w:val="32"/>
          <w:shd w:val="clear" w:color="auto" w:fill="F9B2A7" w:themeFill="accent6" w:themeFillTint="66"/>
        </w:rPr>
      </w:pPr>
      <w:r w:rsidRPr="005F597B">
        <w:rPr>
          <w:sz w:val="32"/>
          <w:szCs w:val="32"/>
          <w:shd w:val="clear" w:color="auto" w:fill="F9B2A7" w:themeFill="accent6" w:themeFillTint="66"/>
        </w:rPr>
        <w:t xml:space="preserve">  2</w:t>
      </w:r>
      <w:r w:rsidR="00F500B2" w:rsidRPr="005F597B">
        <w:rPr>
          <w:sz w:val="32"/>
          <w:szCs w:val="32"/>
          <w:shd w:val="clear" w:color="auto" w:fill="F9B2A7" w:themeFill="accent6" w:themeFillTint="66"/>
        </w:rPr>
        <w:t xml:space="preserve"> Combined Areas</w:t>
      </w:r>
      <w:r w:rsidR="00C56C5C" w:rsidRPr="005F597B">
        <w:rPr>
          <w:sz w:val="32"/>
          <w:szCs w:val="32"/>
          <w:shd w:val="clear" w:color="auto" w:fill="F9B2A7" w:themeFill="accent6" w:themeFillTint="66"/>
        </w:rPr>
        <w:t xml:space="preserve">                                                                           </w:t>
      </w:r>
    </w:p>
    <w:p w:rsidR="00F500B2" w:rsidRPr="005F597B" w:rsidRDefault="004F7078">
      <w:pPr>
        <w:rPr>
          <w:sz w:val="32"/>
          <w:szCs w:val="32"/>
          <w:shd w:val="clear" w:color="auto" w:fill="8CC9F7" w:themeFill="background2" w:themeFillShade="E6"/>
        </w:rPr>
      </w:pPr>
      <w:r w:rsidRPr="005F597B">
        <w:rPr>
          <w:sz w:val="32"/>
          <w:szCs w:val="32"/>
          <w:shd w:val="clear" w:color="auto" w:fill="8CC9F7" w:themeFill="background2" w:themeFillShade="E6"/>
        </w:rPr>
        <w:t xml:space="preserve">  </w:t>
      </w:r>
      <w:r w:rsidR="00F500B2" w:rsidRPr="005F597B">
        <w:rPr>
          <w:sz w:val="32"/>
          <w:szCs w:val="32"/>
          <w:shd w:val="clear" w:color="auto" w:fill="8CC9F7" w:themeFill="background2" w:themeFillShade="E6"/>
        </w:rPr>
        <w:t>6 New areas added</w:t>
      </w:r>
    </w:p>
    <w:p w:rsidR="00F500B2" w:rsidRPr="005F597B" w:rsidRDefault="004F7078" w:rsidP="00F579BD">
      <w:pPr>
        <w:shd w:val="clear" w:color="auto" w:fill="FFFFFF" w:themeFill="background1"/>
        <w:rPr>
          <w:sz w:val="32"/>
          <w:szCs w:val="32"/>
          <w:shd w:val="clear" w:color="auto" w:fill="A6A6A6" w:themeFill="background1" w:themeFillShade="A6"/>
        </w:rPr>
      </w:pPr>
      <w:r w:rsidRPr="005F597B">
        <w:rPr>
          <w:sz w:val="32"/>
          <w:szCs w:val="32"/>
          <w:shd w:val="clear" w:color="auto" w:fill="A6A6A6" w:themeFill="background1" w:themeFillShade="A6"/>
        </w:rPr>
        <w:t xml:space="preserve">  2 Headings changed</w:t>
      </w:r>
      <w:r w:rsidR="00F579BD" w:rsidRPr="005F597B">
        <w:rPr>
          <w:sz w:val="32"/>
          <w:szCs w:val="32"/>
          <w:shd w:val="clear" w:color="auto" w:fill="A6A6A6" w:themeFill="background1" w:themeFillShade="A6"/>
        </w:rPr>
        <w:t xml:space="preserve"> – PR is now within QA 3 Communications and links with the Community</w:t>
      </w:r>
    </w:p>
    <w:sectPr w:rsidR="00F500B2" w:rsidRPr="005F597B" w:rsidSect="00B8524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D8" w:rsidRDefault="00A011D8" w:rsidP="00F579BD">
      <w:r>
        <w:separator/>
      </w:r>
    </w:p>
  </w:endnote>
  <w:endnote w:type="continuationSeparator" w:id="0">
    <w:p w:rsidR="00A011D8" w:rsidRDefault="00A011D8" w:rsidP="00F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D8" w:rsidRDefault="00A011D8" w:rsidP="00F579BD">
      <w:r>
        <w:separator/>
      </w:r>
    </w:p>
  </w:footnote>
  <w:footnote w:type="continuationSeparator" w:id="0">
    <w:p w:rsidR="00A011D8" w:rsidRDefault="00A011D8" w:rsidP="00F5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A7" w:rsidRDefault="00AF1EA7">
    <w:pPr>
      <w:pStyle w:val="Header"/>
    </w:pPr>
    <w:r>
      <w:rPr>
        <w:lang w:val="en-IE"/>
      </w:rPr>
      <w:t>25/03/2019</w:t>
    </w:r>
  </w:p>
  <w:p w:rsidR="00AF1EA7" w:rsidRDefault="00AF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63A40"/>
    <w:rsid w:val="000A1FF7"/>
    <w:rsid w:val="000C582B"/>
    <w:rsid w:val="00206620"/>
    <w:rsid w:val="0021499B"/>
    <w:rsid w:val="0024329E"/>
    <w:rsid w:val="0026770E"/>
    <w:rsid w:val="002749AC"/>
    <w:rsid w:val="00276B61"/>
    <w:rsid w:val="00286BF9"/>
    <w:rsid w:val="002B244A"/>
    <w:rsid w:val="002E2F08"/>
    <w:rsid w:val="003050A3"/>
    <w:rsid w:val="00331D38"/>
    <w:rsid w:val="00353075"/>
    <w:rsid w:val="00364E5B"/>
    <w:rsid w:val="00376453"/>
    <w:rsid w:val="00377373"/>
    <w:rsid w:val="0039002D"/>
    <w:rsid w:val="003B6105"/>
    <w:rsid w:val="003D0146"/>
    <w:rsid w:val="003E3F71"/>
    <w:rsid w:val="003E50C2"/>
    <w:rsid w:val="00434733"/>
    <w:rsid w:val="00455D74"/>
    <w:rsid w:val="0045733A"/>
    <w:rsid w:val="00462785"/>
    <w:rsid w:val="004A0FD1"/>
    <w:rsid w:val="004B2BBA"/>
    <w:rsid w:val="004B31AC"/>
    <w:rsid w:val="004F7078"/>
    <w:rsid w:val="00554D0A"/>
    <w:rsid w:val="005D14F4"/>
    <w:rsid w:val="005F597B"/>
    <w:rsid w:val="00617BE0"/>
    <w:rsid w:val="0066267E"/>
    <w:rsid w:val="006704E4"/>
    <w:rsid w:val="006C2896"/>
    <w:rsid w:val="007473EE"/>
    <w:rsid w:val="00756DC8"/>
    <w:rsid w:val="00793A80"/>
    <w:rsid w:val="007A5710"/>
    <w:rsid w:val="007E4694"/>
    <w:rsid w:val="007F22D4"/>
    <w:rsid w:val="00803DD8"/>
    <w:rsid w:val="00843AA8"/>
    <w:rsid w:val="00901E42"/>
    <w:rsid w:val="00931258"/>
    <w:rsid w:val="00A011D8"/>
    <w:rsid w:val="00A24BC0"/>
    <w:rsid w:val="00A938B3"/>
    <w:rsid w:val="00A95737"/>
    <w:rsid w:val="00AA0EB1"/>
    <w:rsid w:val="00AA2F2B"/>
    <w:rsid w:val="00AC1916"/>
    <w:rsid w:val="00AD063D"/>
    <w:rsid w:val="00AE6D99"/>
    <w:rsid w:val="00AF1EA7"/>
    <w:rsid w:val="00B05873"/>
    <w:rsid w:val="00B72D0E"/>
    <w:rsid w:val="00B85241"/>
    <w:rsid w:val="00C33971"/>
    <w:rsid w:val="00C4174D"/>
    <w:rsid w:val="00C41A53"/>
    <w:rsid w:val="00C56C5C"/>
    <w:rsid w:val="00CE134A"/>
    <w:rsid w:val="00D12AA5"/>
    <w:rsid w:val="00D560D3"/>
    <w:rsid w:val="00DD14AA"/>
    <w:rsid w:val="00DF64EF"/>
    <w:rsid w:val="00E30C49"/>
    <w:rsid w:val="00E32A23"/>
    <w:rsid w:val="00E34CE9"/>
    <w:rsid w:val="00E41320"/>
    <w:rsid w:val="00E47582"/>
    <w:rsid w:val="00E87286"/>
    <w:rsid w:val="00EA6AEE"/>
    <w:rsid w:val="00EC65CB"/>
    <w:rsid w:val="00F1247C"/>
    <w:rsid w:val="00F16808"/>
    <w:rsid w:val="00F500B2"/>
    <w:rsid w:val="00F518E6"/>
    <w:rsid w:val="00F579BD"/>
    <w:rsid w:val="00F76FDC"/>
    <w:rsid w:val="00FD18F9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3A8D-E185-4103-B716-39D93542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Management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Management</dc:title>
  <dc:subject/>
  <dc:creator>Sheila Sullivan</dc:creator>
  <cp:keywords/>
  <dc:description/>
  <cp:lastModifiedBy>Fionnula Cooley</cp:lastModifiedBy>
  <cp:revision>28</cp:revision>
  <cp:lastPrinted>2019-03-25T15:15:00Z</cp:lastPrinted>
  <dcterms:created xsi:type="dcterms:W3CDTF">2016-01-04T06:52:00Z</dcterms:created>
  <dcterms:modified xsi:type="dcterms:W3CDTF">2019-03-27T09:30:00Z</dcterms:modified>
</cp:coreProperties>
</file>