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08" w:rsidRPr="00FA5BD4" w:rsidRDefault="0009250D" w:rsidP="009E1C08">
      <w:pPr>
        <w:pStyle w:val="DefaultText1"/>
        <w:tabs>
          <w:tab w:val="left" w:pos="720"/>
        </w:tabs>
        <w:jc w:val="center"/>
        <w:rPr>
          <w:rFonts w:asciiTheme="minorHAnsi" w:hAnsiTheme="minorHAnsi"/>
          <w:b/>
          <w:smallCaps/>
          <w:szCs w:val="24"/>
          <w:u w:val="single"/>
        </w:rPr>
      </w:pPr>
      <w:r w:rsidRPr="00FA5BD4">
        <w:rPr>
          <w:rFonts w:asciiTheme="minorHAnsi" w:hAnsiTheme="minorHAnsi"/>
          <w:b/>
          <w:i/>
          <w:szCs w:val="24"/>
          <w:highlight w:val="magenta"/>
        </w:rPr>
        <w:t>N</w:t>
      </w:r>
      <w:r w:rsidR="009E1C08" w:rsidRPr="00FA5BD4">
        <w:rPr>
          <w:rFonts w:asciiTheme="minorHAnsi" w:hAnsiTheme="minorHAnsi"/>
          <w:b/>
          <w:i/>
          <w:szCs w:val="24"/>
          <w:highlight w:val="magenta"/>
        </w:rPr>
        <w:t xml:space="preserve">otes to accompany form </w:t>
      </w:r>
      <w:r w:rsidR="00EC5412" w:rsidRPr="00FA5BD4">
        <w:rPr>
          <w:rFonts w:asciiTheme="minorHAnsi" w:hAnsiTheme="minorHAnsi"/>
          <w:b/>
          <w:i/>
          <w:szCs w:val="24"/>
          <w:highlight w:val="magenta"/>
        </w:rPr>
        <w:t>–</w:t>
      </w:r>
      <w:r w:rsidR="009E1C08" w:rsidRPr="00FA5BD4">
        <w:rPr>
          <w:rFonts w:asciiTheme="minorHAnsi" w:hAnsiTheme="minorHAnsi"/>
          <w:b/>
          <w:i/>
          <w:szCs w:val="24"/>
          <w:highlight w:val="magenta"/>
        </w:rPr>
        <w:t xml:space="preserve"> </w:t>
      </w:r>
      <w:r w:rsidR="00EC5412" w:rsidRPr="00FA5BD4">
        <w:rPr>
          <w:rFonts w:asciiTheme="minorHAnsi" w:hAnsiTheme="minorHAnsi"/>
          <w:b/>
          <w:smallCaps/>
          <w:szCs w:val="24"/>
          <w:highlight w:val="magenta"/>
          <w:u w:val="single"/>
        </w:rPr>
        <w:t>MEMBER WITH PRESERVED (DEFERRED) PENSION</w:t>
      </w:r>
    </w:p>
    <w:p w:rsidR="00C61E37" w:rsidRPr="00FA5BD4" w:rsidRDefault="00C61E37" w:rsidP="00C61E37">
      <w:pPr>
        <w:pStyle w:val="DefaultText1"/>
        <w:jc w:val="center"/>
        <w:rPr>
          <w:rFonts w:asciiTheme="minorHAnsi" w:hAnsiTheme="minorHAnsi"/>
          <w:b/>
          <w:i/>
          <w:sz w:val="28"/>
          <w:szCs w:val="28"/>
        </w:rPr>
      </w:pPr>
    </w:p>
    <w:p w:rsidR="0009250D" w:rsidRPr="00FA5BD4" w:rsidRDefault="0009250D" w:rsidP="00C61E37">
      <w:pPr>
        <w:pStyle w:val="DefaultText1"/>
        <w:jc w:val="center"/>
        <w:rPr>
          <w:rFonts w:asciiTheme="minorHAnsi" w:hAnsiTheme="minorHAnsi"/>
          <w:b/>
          <w:i/>
          <w:sz w:val="28"/>
          <w:szCs w:val="28"/>
        </w:rPr>
      </w:pPr>
      <w:r w:rsidRPr="00FA5BD4">
        <w:rPr>
          <w:rFonts w:asciiTheme="minorHAnsi" w:hAnsiTheme="minorHAnsi"/>
          <w:b/>
          <w:i/>
          <w:sz w:val="28"/>
          <w:szCs w:val="28"/>
          <w:highlight w:val="red"/>
        </w:rPr>
        <w:t xml:space="preserve">(Delete </w:t>
      </w:r>
      <w:r w:rsidR="00C61E37" w:rsidRPr="00FA5BD4">
        <w:rPr>
          <w:rFonts w:asciiTheme="minorHAnsi" w:hAnsiTheme="minorHAnsi"/>
          <w:b/>
          <w:i/>
          <w:sz w:val="28"/>
          <w:szCs w:val="28"/>
          <w:highlight w:val="red"/>
        </w:rPr>
        <w:t xml:space="preserve">non relevant parts </w:t>
      </w:r>
      <w:r w:rsidRPr="00FA5BD4">
        <w:rPr>
          <w:rFonts w:asciiTheme="minorHAnsi" w:hAnsiTheme="minorHAnsi"/>
          <w:b/>
          <w:i/>
          <w:sz w:val="28"/>
          <w:szCs w:val="28"/>
          <w:highlight w:val="red"/>
        </w:rPr>
        <w:t>as appropriate)</w:t>
      </w:r>
    </w:p>
    <w:p w:rsidR="0009250D" w:rsidRPr="00FA5BD4" w:rsidRDefault="0009250D" w:rsidP="0009250D">
      <w:pPr>
        <w:pStyle w:val="DefaultText1"/>
        <w:tabs>
          <w:tab w:val="left" w:pos="720"/>
        </w:tabs>
        <w:ind w:left="720" w:hanging="720"/>
        <w:jc w:val="both"/>
        <w:rPr>
          <w:rFonts w:asciiTheme="minorHAnsi" w:hAnsiTheme="minorHAnsi"/>
          <w:b/>
          <w:i/>
          <w:caps/>
        </w:rPr>
      </w:pPr>
    </w:p>
    <w:p w:rsidR="0009250D" w:rsidRPr="00FA5BD4" w:rsidRDefault="0009250D" w:rsidP="0009250D">
      <w:pPr>
        <w:pStyle w:val="DefaultText1"/>
        <w:tabs>
          <w:tab w:val="left" w:pos="720"/>
        </w:tabs>
        <w:ind w:left="720" w:hanging="720"/>
        <w:jc w:val="both"/>
        <w:rPr>
          <w:rFonts w:asciiTheme="minorHAnsi" w:hAnsiTheme="minorHAnsi"/>
          <w:b/>
          <w:i/>
          <w:smallCaps/>
        </w:rPr>
      </w:pPr>
      <w:r w:rsidRPr="00FA5BD4">
        <w:rPr>
          <w:rFonts w:asciiTheme="minorHAnsi" w:hAnsiTheme="minorHAnsi"/>
          <w:b/>
          <w:i/>
        </w:rPr>
        <w:t>Scheme membership</w:t>
      </w:r>
    </w:p>
    <w:p w:rsidR="0009250D" w:rsidRPr="00FA5BD4" w:rsidRDefault="0009250D" w:rsidP="0009250D">
      <w:pPr>
        <w:pStyle w:val="DefaultText1"/>
        <w:tabs>
          <w:tab w:val="left" w:pos="720"/>
        </w:tabs>
        <w:jc w:val="both"/>
        <w:rPr>
          <w:rFonts w:asciiTheme="minorHAnsi" w:hAnsiTheme="minorHAnsi"/>
        </w:rPr>
      </w:pPr>
      <w:r w:rsidRPr="00FA5BD4">
        <w:rPr>
          <w:rFonts w:asciiTheme="minorHAnsi" w:hAnsiTheme="minorHAnsi"/>
        </w:rPr>
        <w:t xml:space="preserve">In the case of </w:t>
      </w:r>
      <w:r w:rsidRPr="00FA5BD4">
        <w:rPr>
          <w:rFonts w:asciiTheme="minorHAnsi" w:hAnsiTheme="minorHAnsi"/>
          <w:b/>
        </w:rPr>
        <w:t>retirement</w:t>
      </w:r>
      <w:r w:rsidRPr="00FA5BD4">
        <w:rPr>
          <w:rFonts w:asciiTheme="minorHAnsi" w:hAnsiTheme="minorHAnsi"/>
        </w:rPr>
        <w:t xml:space="preserve"> benefits, the </w:t>
      </w:r>
      <w:r w:rsidR="00EC5412" w:rsidRPr="00FA5BD4">
        <w:rPr>
          <w:rFonts w:asciiTheme="minorHAnsi" w:hAnsiTheme="minorHAnsi"/>
        </w:rPr>
        <w:t xml:space="preserve">Family Law </w:t>
      </w:r>
      <w:r w:rsidRPr="00FA5BD4">
        <w:rPr>
          <w:rFonts w:asciiTheme="minorHAnsi" w:hAnsiTheme="minorHAnsi"/>
        </w:rPr>
        <w:t xml:space="preserve">legislation provides that any order made must specify a relevant period and a percentage on which any designated benefit payable to the non-member </w:t>
      </w:r>
      <w:r w:rsidR="00EC5412" w:rsidRPr="00FA5BD4">
        <w:rPr>
          <w:rFonts w:asciiTheme="minorHAnsi" w:hAnsiTheme="minorHAnsi"/>
        </w:rPr>
        <w:t xml:space="preserve">spouse/civil partner </w:t>
      </w:r>
      <w:r w:rsidRPr="00FA5BD4">
        <w:rPr>
          <w:rFonts w:asciiTheme="minorHAnsi" w:hAnsiTheme="minorHAnsi"/>
        </w:rPr>
        <w:t>will be based. The relevant period may include service in any scheme in this employment but cannot include service in other schemes or service given in a non-pensionable capacity, even if that service is reckonable for pension purposes</w:t>
      </w:r>
      <w:r w:rsidR="00EC5412" w:rsidRPr="00FA5BD4">
        <w:rPr>
          <w:rFonts w:asciiTheme="minorHAnsi" w:hAnsiTheme="minorHAnsi"/>
        </w:rPr>
        <w:t xml:space="preserve"> in another scheme</w:t>
      </w:r>
      <w:r w:rsidRPr="00FA5BD4">
        <w:rPr>
          <w:rFonts w:asciiTheme="minorHAnsi" w:hAnsiTheme="minorHAnsi"/>
        </w:rPr>
        <w:t>. The information in this form is based on reckonable service. The form also gives details of pensionable scheme service.</w:t>
      </w:r>
      <w:r w:rsidR="00EC5412" w:rsidRPr="00FA5BD4">
        <w:rPr>
          <w:rFonts w:asciiTheme="minorHAnsi" w:hAnsiTheme="minorHAnsi"/>
        </w:rPr>
        <w:t xml:space="preserve">  An earlier period may be included in the relevant period to cover a period of service in another employment in respect of </w:t>
      </w:r>
      <w:r w:rsidR="00B03211" w:rsidRPr="00FA5BD4">
        <w:rPr>
          <w:rFonts w:asciiTheme="minorHAnsi" w:hAnsiTheme="minorHAnsi"/>
        </w:rPr>
        <w:t xml:space="preserve">which the service </w:t>
      </w:r>
      <w:r w:rsidR="00B03211" w:rsidRPr="00FA5BD4">
        <w:rPr>
          <w:rFonts w:asciiTheme="minorHAnsi" w:hAnsiTheme="minorHAnsi"/>
          <w:u w:val="single"/>
        </w:rPr>
        <w:t>has been transferred</w:t>
      </w:r>
      <w:r w:rsidR="00B03211" w:rsidRPr="00FA5BD4">
        <w:rPr>
          <w:rFonts w:asciiTheme="minorHAnsi" w:hAnsiTheme="minorHAnsi"/>
        </w:rPr>
        <w:t xml:space="preserve"> into the current scheme.</w:t>
      </w:r>
    </w:p>
    <w:p w:rsidR="0009250D" w:rsidRPr="00FA5BD4" w:rsidRDefault="0009250D" w:rsidP="0009250D">
      <w:pPr>
        <w:pStyle w:val="DefaultText1"/>
        <w:tabs>
          <w:tab w:val="left" w:pos="720"/>
        </w:tabs>
        <w:jc w:val="both"/>
        <w:rPr>
          <w:rFonts w:asciiTheme="minorHAnsi" w:hAnsiTheme="minorHAnsi"/>
        </w:rPr>
      </w:pPr>
    </w:p>
    <w:p w:rsidR="00B03211" w:rsidRPr="00FA5BD4" w:rsidRDefault="00B03211" w:rsidP="0009250D">
      <w:pPr>
        <w:pStyle w:val="DefaultText1"/>
        <w:tabs>
          <w:tab w:val="left" w:pos="720"/>
        </w:tabs>
        <w:jc w:val="both"/>
        <w:rPr>
          <w:rFonts w:asciiTheme="minorHAnsi" w:hAnsiTheme="minorHAnsi"/>
        </w:rPr>
      </w:pPr>
      <w:r w:rsidRPr="00FA5BD4">
        <w:rPr>
          <w:rFonts w:asciiTheme="minorHAnsi" w:hAnsiTheme="minorHAnsi"/>
        </w:rPr>
        <w:t xml:space="preserve">As the former member is no longer in service, there is no entitlement to </w:t>
      </w:r>
      <w:r w:rsidRPr="00FA5BD4">
        <w:rPr>
          <w:rFonts w:asciiTheme="minorHAnsi" w:hAnsiTheme="minorHAnsi"/>
          <w:b/>
        </w:rPr>
        <w:t>contingent benefits</w:t>
      </w:r>
      <w:r w:rsidRPr="00FA5BD4">
        <w:rPr>
          <w:rFonts w:asciiTheme="minorHAnsi" w:hAnsiTheme="minorHAnsi"/>
        </w:rPr>
        <w:t xml:space="preserve"> but a lump</w:t>
      </w:r>
      <w:r w:rsidR="00C32202" w:rsidRPr="00FA5BD4">
        <w:rPr>
          <w:rFonts w:asciiTheme="minorHAnsi" w:hAnsiTheme="minorHAnsi"/>
        </w:rPr>
        <w:t xml:space="preserve"> </w:t>
      </w:r>
      <w:r w:rsidRPr="00FA5BD4">
        <w:rPr>
          <w:rFonts w:asciiTheme="minorHAnsi" w:hAnsiTheme="minorHAnsi"/>
        </w:rPr>
        <w:t xml:space="preserve">sum called a </w:t>
      </w:r>
      <w:r w:rsidRPr="00FA5BD4">
        <w:rPr>
          <w:rFonts w:asciiTheme="minorHAnsi" w:hAnsiTheme="minorHAnsi"/>
          <w:b/>
        </w:rPr>
        <w:t>Preserved Death Gratuity</w:t>
      </w:r>
      <w:r w:rsidRPr="00FA5BD4">
        <w:rPr>
          <w:rFonts w:asciiTheme="minorHAnsi" w:hAnsiTheme="minorHAnsi"/>
        </w:rPr>
        <w:t xml:space="preserve"> is payable if the member dies before the age indicated in </w:t>
      </w:r>
      <w:r w:rsidR="00C32202" w:rsidRPr="00FA5BD4">
        <w:rPr>
          <w:rFonts w:asciiTheme="minorHAnsi" w:hAnsiTheme="minorHAnsi"/>
        </w:rPr>
        <w:t xml:space="preserve">paragraph </w:t>
      </w:r>
      <w:r w:rsidR="00F228C2" w:rsidRPr="00FA5BD4">
        <w:rPr>
          <w:rFonts w:asciiTheme="minorHAnsi" w:hAnsiTheme="minorHAnsi"/>
        </w:rPr>
        <w:t>16.</w:t>
      </w:r>
    </w:p>
    <w:p w:rsidR="00B03211" w:rsidRPr="00FA5BD4" w:rsidRDefault="00B03211" w:rsidP="0009250D">
      <w:pPr>
        <w:pStyle w:val="DefaultText1"/>
        <w:tabs>
          <w:tab w:val="left" w:pos="720"/>
        </w:tabs>
        <w:jc w:val="both"/>
        <w:rPr>
          <w:rFonts w:asciiTheme="minorHAnsi" w:hAnsiTheme="minorHAnsi"/>
        </w:rPr>
      </w:pPr>
    </w:p>
    <w:p w:rsidR="0009250D" w:rsidRPr="00FA5BD4" w:rsidRDefault="00B03211" w:rsidP="0009250D">
      <w:pPr>
        <w:pStyle w:val="DefaultText1"/>
        <w:tabs>
          <w:tab w:val="left" w:pos="720"/>
        </w:tabs>
        <w:jc w:val="both"/>
        <w:rPr>
          <w:rFonts w:asciiTheme="minorHAnsi" w:hAnsiTheme="minorHAnsi"/>
          <w:b/>
          <w:i/>
        </w:rPr>
      </w:pPr>
      <w:r w:rsidRPr="00FA5BD4">
        <w:rPr>
          <w:rFonts w:asciiTheme="minorHAnsi" w:hAnsiTheme="minorHAnsi"/>
          <w:b/>
          <w:i/>
        </w:rPr>
        <w:t xml:space="preserve">Co-ordination of service </w:t>
      </w:r>
      <w:r w:rsidR="0009250D" w:rsidRPr="00FA5BD4">
        <w:rPr>
          <w:rFonts w:asciiTheme="minorHAnsi" w:hAnsiTheme="minorHAnsi"/>
          <w:b/>
          <w:i/>
        </w:rPr>
        <w:t>liable for full PRSI</w:t>
      </w:r>
    </w:p>
    <w:p w:rsidR="00B03211" w:rsidRPr="00FA5BD4" w:rsidRDefault="00B03211" w:rsidP="0009250D">
      <w:pPr>
        <w:pStyle w:val="DefaultText1"/>
        <w:tabs>
          <w:tab w:val="left" w:pos="720"/>
        </w:tabs>
        <w:jc w:val="both"/>
        <w:rPr>
          <w:rFonts w:asciiTheme="minorHAnsi" w:hAnsiTheme="minorHAnsi"/>
        </w:rPr>
      </w:pPr>
      <w:r w:rsidRPr="00FA5BD4">
        <w:rPr>
          <w:rFonts w:asciiTheme="minorHAnsi" w:hAnsiTheme="minorHAnsi"/>
        </w:rPr>
        <w:t xml:space="preserve">Where the scheme member was subject to full PRSI, the </w:t>
      </w:r>
      <w:r w:rsidR="0009250D" w:rsidRPr="00FA5BD4">
        <w:rPr>
          <w:rFonts w:asciiTheme="minorHAnsi" w:hAnsiTheme="minorHAnsi"/>
        </w:rPr>
        <w:t xml:space="preserve">calculation of the occupational pension takes into account the personal rate of the State Pension (Contributory) payable to a single person. This is known as co-ordination or integration. </w:t>
      </w:r>
    </w:p>
    <w:p w:rsidR="00B03211" w:rsidRPr="00FA5BD4" w:rsidRDefault="00B03211" w:rsidP="0009250D">
      <w:pPr>
        <w:pStyle w:val="DefaultText1"/>
        <w:tabs>
          <w:tab w:val="left" w:pos="720"/>
        </w:tabs>
        <w:jc w:val="both"/>
        <w:rPr>
          <w:rFonts w:asciiTheme="minorHAnsi" w:hAnsiTheme="minorHAnsi"/>
        </w:rPr>
      </w:pPr>
    </w:p>
    <w:p w:rsidR="00920F02" w:rsidRPr="00FA5BD4" w:rsidRDefault="00920F02" w:rsidP="00920F02">
      <w:pPr>
        <w:pStyle w:val="DefaultText1"/>
        <w:tabs>
          <w:tab w:val="left" w:pos="720"/>
        </w:tabs>
        <w:jc w:val="both"/>
        <w:rPr>
          <w:rFonts w:asciiTheme="minorHAnsi" w:hAnsiTheme="minorHAnsi"/>
          <w:b/>
          <w:i/>
        </w:rPr>
      </w:pPr>
      <w:r w:rsidRPr="00FA5BD4">
        <w:rPr>
          <w:rFonts w:asciiTheme="minorHAnsi" w:hAnsiTheme="minorHAnsi"/>
          <w:b/>
          <w:i/>
        </w:rPr>
        <w:t>How a Co-ordinated pension is calculated</w:t>
      </w:r>
    </w:p>
    <w:p w:rsidR="00920F02" w:rsidRPr="00FA5BD4" w:rsidRDefault="00920F02" w:rsidP="00920F02">
      <w:pPr>
        <w:pStyle w:val="DefaultText1"/>
        <w:tabs>
          <w:tab w:val="left" w:pos="720"/>
        </w:tabs>
        <w:jc w:val="both"/>
        <w:rPr>
          <w:rFonts w:asciiTheme="minorHAnsi" w:hAnsiTheme="minorHAnsi"/>
        </w:rPr>
      </w:pPr>
      <w:r w:rsidRPr="00FA5BD4">
        <w:rPr>
          <w:rFonts w:asciiTheme="minorHAnsi" w:hAnsiTheme="minorHAnsi"/>
        </w:rPr>
        <w:t>The calculation of the occupational pension is based on:</w:t>
      </w:r>
    </w:p>
    <w:p w:rsidR="00920F02" w:rsidRPr="00FA5BD4" w:rsidRDefault="00920F02" w:rsidP="00920F02">
      <w:pPr>
        <w:pStyle w:val="DefaultText1"/>
        <w:tabs>
          <w:tab w:val="left" w:pos="720"/>
        </w:tabs>
        <w:jc w:val="both"/>
        <w:rPr>
          <w:rFonts w:asciiTheme="minorHAnsi" w:hAnsiTheme="minorHAnsi"/>
        </w:rPr>
      </w:pPr>
      <w:r w:rsidRPr="00FA5BD4">
        <w:rPr>
          <w:rFonts w:asciiTheme="minorHAnsi" w:hAnsiTheme="minorHAnsi"/>
        </w:rPr>
        <w:t>1/200</w:t>
      </w:r>
      <w:r w:rsidRPr="00FA5BD4">
        <w:rPr>
          <w:rFonts w:asciiTheme="minorHAnsi" w:hAnsiTheme="minorHAnsi"/>
          <w:vertAlign w:val="superscript"/>
        </w:rPr>
        <w:t>th</w:t>
      </w:r>
      <w:r w:rsidRPr="00FA5BD4">
        <w:rPr>
          <w:rFonts w:asciiTheme="minorHAnsi" w:hAnsiTheme="minorHAnsi"/>
        </w:rPr>
        <w:t xml:space="preserve"> of pensionable remuneration up to the equivalent of 3 1/3</w:t>
      </w:r>
      <w:r w:rsidRPr="00FA5BD4">
        <w:rPr>
          <w:rFonts w:asciiTheme="minorHAnsi" w:hAnsiTheme="minorHAnsi"/>
          <w:vertAlign w:val="superscript"/>
        </w:rPr>
        <w:t>rd</w:t>
      </w:r>
      <w:r w:rsidRPr="00FA5BD4">
        <w:rPr>
          <w:rFonts w:asciiTheme="minorHAnsi" w:hAnsiTheme="minorHAnsi"/>
        </w:rPr>
        <w:t xml:space="preserve"> times State Pension (Contributory) plus</w:t>
      </w:r>
    </w:p>
    <w:p w:rsidR="00920F02" w:rsidRPr="00FA5BD4" w:rsidRDefault="00920F02" w:rsidP="00920F02">
      <w:pPr>
        <w:pStyle w:val="DefaultText1"/>
        <w:tabs>
          <w:tab w:val="left" w:pos="720"/>
        </w:tabs>
        <w:jc w:val="both"/>
        <w:rPr>
          <w:rFonts w:asciiTheme="minorHAnsi" w:hAnsiTheme="minorHAnsi"/>
        </w:rPr>
      </w:pPr>
      <w:r w:rsidRPr="00FA5BD4">
        <w:rPr>
          <w:rFonts w:asciiTheme="minorHAnsi" w:hAnsiTheme="minorHAnsi"/>
        </w:rPr>
        <w:t>1/80</w:t>
      </w:r>
      <w:r w:rsidRPr="00FA5BD4">
        <w:rPr>
          <w:rFonts w:asciiTheme="minorHAnsi" w:hAnsiTheme="minorHAnsi"/>
          <w:vertAlign w:val="superscript"/>
        </w:rPr>
        <w:t>th</w:t>
      </w:r>
      <w:r w:rsidRPr="00FA5BD4">
        <w:rPr>
          <w:rFonts w:asciiTheme="minorHAnsi" w:hAnsiTheme="minorHAnsi"/>
        </w:rPr>
        <w:t xml:space="preserve"> of pensionable remuneration (if any) which exceeds that amount for each year of pensionable service. </w:t>
      </w:r>
    </w:p>
    <w:p w:rsidR="00920F02" w:rsidRPr="00FA5BD4" w:rsidRDefault="00920F02" w:rsidP="00920F02">
      <w:pPr>
        <w:pStyle w:val="DefaultText1"/>
        <w:tabs>
          <w:tab w:val="left" w:pos="720"/>
        </w:tabs>
        <w:jc w:val="both"/>
        <w:rPr>
          <w:rFonts w:asciiTheme="minorHAnsi" w:hAnsiTheme="minorHAnsi"/>
        </w:rPr>
      </w:pPr>
    </w:p>
    <w:p w:rsidR="00920F02" w:rsidRPr="00FA5BD4" w:rsidRDefault="00920F02" w:rsidP="00920F02">
      <w:pPr>
        <w:pStyle w:val="DefaultText1"/>
        <w:tabs>
          <w:tab w:val="left" w:pos="720"/>
        </w:tabs>
        <w:jc w:val="both"/>
        <w:rPr>
          <w:rFonts w:asciiTheme="minorHAnsi" w:hAnsiTheme="minorHAnsi"/>
          <w:b/>
        </w:rPr>
      </w:pPr>
      <w:r w:rsidRPr="00FA5BD4">
        <w:rPr>
          <w:rFonts w:asciiTheme="minorHAnsi" w:hAnsiTheme="minorHAnsi"/>
          <w:b/>
        </w:rPr>
        <w:t xml:space="preserve">Example: where pensionable remuneration is €45,000, </w:t>
      </w:r>
    </w:p>
    <w:p w:rsidR="00920F02" w:rsidRPr="00FA5BD4" w:rsidRDefault="00920F02" w:rsidP="00920F02">
      <w:pPr>
        <w:pStyle w:val="DefaultText1"/>
        <w:numPr>
          <w:ilvl w:val="0"/>
          <w:numId w:val="5"/>
        </w:numPr>
        <w:tabs>
          <w:tab w:val="left" w:pos="720"/>
        </w:tabs>
        <w:jc w:val="both"/>
        <w:rPr>
          <w:rFonts w:asciiTheme="minorHAnsi" w:hAnsiTheme="minorHAnsi"/>
        </w:rPr>
      </w:pPr>
      <w:r w:rsidRPr="00FA5BD4">
        <w:rPr>
          <w:rFonts w:asciiTheme="minorHAnsi" w:hAnsiTheme="minorHAnsi"/>
        </w:rPr>
        <w:t xml:space="preserve">State Pension (Contributory) amounts to €12,017 (rounded) per annum approximately </w:t>
      </w:r>
    </w:p>
    <w:p w:rsidR="00920F02" w:rsidRPr="00FA5BD4" w:rsidRDefault="00920F02" w:rsidP="00920F02">
      <w:pPr>
        <w:pStyle w:val="DefaultText1"/>
        <w:numPr>
          <w:ilvl w:val="0"/>
          <w:numId w:val="5"/>
        </w:numPr>
        <w:tabs>
          <w:tab w:val="left" w:pos="720"/>
        </w:tabs>
        <w:jc w:val="both"/>
        <w:rPr>
          <w:rFonts w:asciiTheme="minorHAnsi" w:hAnsiTheme="minorHAnsi"/>
        </w:rPr>
      </w:pPr>
      <w:r w:rsidRPr="00FA5BD4">
        <w:rPr>
          <w:rFonts w:asciiTheme="minorHAnsi" w:hAnsiTheme="minorHAnsi"/>
        </w:rPr>
        <w:t xml:space="preserve">Actual reckonable service is 20 years </w:t>
      </w:r>
    </w:p>
    <w:p w:rsidR="00920F02" w:rsidRPr="00FA5BD4" w:rsidRDefault="00920F02" w:rsidP="00920F02">
      <w:pPr>
        <w:pStyle w:val="DefaultText1"/>
        <w:numPr>
          <w:ilvl w:val="0"/>
          <w:numId w:val="5"/>
        </w:numPr>
        <w:tabs>
          <w:tab w:val="left" w:pos="720"/>
        </w:tabs>
        <w:jc w:val="both"/>
        <w:rPr>
          <w:rFonts w:asciiTheme="minorHAnsi" w:hAnsiTheme="minorHAnsi"/>
        </w:rPr>
      </w:pPr>
      <w:r w:rsidRPr="00FA5BD4">
        <w:rPr>
          <w:rFonts w:asciiTheme="minorHAnsi" w:hAnsiTheme="minorHAnsi"/>
        </w:rPr>
        <w:t xml:space="preserve">3 1/3 times SPC is </w:t>
      </w:r>
      <w:r w:rsidRPr="00FA5BD4">
        <w:rPr>
          <w:rFonts w:asciiTheme="minorHAnsi" w:hAnsiTheme="minorHAnsi" w:cs="Arial"/>
        </w:rPr>
        <w:t>€</w:t>
      </w:r>
      <w:r w:rsidRPr="00FA5BD4">
        <w:rPr>
          <w:rFonts w:asciiTheme="minorHAnsi" w:hAnsiTheme="minorHAnsi"/>
        </w:rPr>
        <w:t>40,056</w:t>
      </w:r>
    </w:p>
    <w:p w:rsidR="00920F02" w:rsidRPr="00FA5BD4" w:rsidRDefault="00920F02" w:rsidP="00920F02">
      <w:pPr>
        <w:pStyle w:val="DefaultText1"/>
        <w:numPr>
          <w:ilvl w:val="0"/>
          <w:numId w:val="5"/>
        </w:numPr>
        <w:tabs>
          <w:tab w:val="left" w:pos="720"/>
        </w:tabs>
        <w:jc w:val="both"/>
        <w:rPr>
          <w:rFonts w:asciiTheme="minorHAnsi" w:hAnsiTheme="minorHAnsi"/>
        </w:rPr>
      </w:pPr>
      <w:r w:rsidRPr="00FA5BD4">
        <w:rPr>
          <w:rFonts w:asciiTheme="minorHAnsi" w:hAnsiTheme="minorHAnsi"/>
        </w:rPr>
        <w:t xml:space="preserve">Remuneration exceeding </w:t>
      </w:r>
      <w:r w:rsidRPr="00FA5BD4">
        <w:rPr>
          <w:rFonts w:asciiTheme="minorHAnsi" w:hAnsiTheme="minorHAnsi" w:cs="Arial"/>
        </w:rPr>
        <w:t>€</w:t>
      </w:r>
      <w:r w:rsidRPr="00FA5BD4">
        <w:rPr>
          <w:rFonts w:asciiTheme="minorHAnsi" w:hAnsiTheme="minorHAnsi"/>
        </w:rPr>
        <w:t xml:space="preserve">40,056 is </w:t>
      </w:r>
      <w:r w:rsidRPr="00FA5BD4">
        <w:rPr>
          <w:rFonts w:asciiTheme="minorHAnsi" w:hAnsiTheme="minorHAnsi" w:cs="Arial"/>
        </w:rPr>
        <w:t>€</w:t>
      </w:r>
      <w:r w:rsidRPr="00FA5BD4">
        <w:rPr>
          <w:rFonts w:asciiTheme="minorHAnsi" w:hAnsiTheme="minorHAnsi"/>
        </w:rPr>
        <w:t>4,944</w:t>
      </w:r>
    </w:p>
    <w:p w:rsidR="00920F02" w:rsidRPr="00FA5BD4" w:rsidRDefault="00920F02" w:rsidP="00920F02">
      <w:pPr>
        <w:pStyle w:val="DefaultText1"/>
        <w:tabs>
          <w:tab w:val="left" w:pos="720"/>
        </w:tabs>
        <w:jc w:val="both"/>
        <w:rPr>
          <w:rFonts w:asciiTheme="minorHAnsi" w:hAnsiTheme="minorHAnsi"/>
        </w:rPr>
      </w:pPr>
    </w:p>
    <w:p w:rsidR="00920F02" w:rsidRPr="00FA5BD4" w:rsidRDefault="00920F02" w:rsidP="00920F02">
      <w:pPr>
        <w:pStyle w:val="DefaultText1"/>
        <w:tabs>
          <w:tab w:val="left" w:pos="720"/>
        </w:tabs>
        <w:jc w:val="both"/>
        <w:rPr>
          <w:rFonts w:asciiTheme="minorHAnsi" w:hAnsiTheme="minorHAnsi"/>
        </w:rPr>
      </w:pPr>
      <w:r w:rsidRPr="00FA5BD4">
        <w:rPr>
          <w:rFonts w:asciiTheme="minorHAnsi" w:hAnsiTheme="minorHAnsi"/>
        </w:rPr>
        <w:t xml:space="preserve">the calculation is: </w:t>
      </w:r>
    </w:p>
    <w:p w:rsidR="00920F02" w:rsidRPr="00FA5BD4" w:rsidRDefault="00920F02" w:rsidP="00920F02">
      <w:pPr>
        <w:pStyle w:val="DefaultText1"/>
        <w:tabs>
          <w:tab w:val="left" w:pos="720"/>
        </w:tabs>
        <w:jc w:val="both"/>
        <w:rPr>
          <w:rFonts w:asciiTheme="minorHAnsi" w:hAnsiTheme="minorHAnsi"/>
        </w:rPr>
      </w:pPr>
      <w:r w:rsidRPr="00FA5BD4">
        <w:rPr>
          <w:rFonts w:asciiTheme="minorHAnsi" w:hAnsiTheme="minorHAnsi"/>
        </w:rPr>
        <w:t>20/200 * €40,056 + 20/80 * €4,944 = €4,006 + €1236 = €5,242.</w:t>
      </w:r>
    </w:p>
    <w:p w:rsidR="0009250D" w:rsidRPr="00FA5BD4" w:rsidRDefault="0009250D" w:rsidP="0009250D">
      <w:pPr>
        <w:pStyle w:val="DefaultText1"/>
        <w:tabs>
          <w:tab w:val="left" w:pos="720"/>
        </w:tabs>
        <w:jc w:val="both"/>
        <w:rPr>
          <w:rFonts w:asciiTheme="minorHAnsi" w:hAnsiTheme="minorHAnsi"/>
        </w:rPr>
      </w:pPr>
    </w:p>
    <w:p w:rsidR="0009250D" w:rsidRPr="00FA5BD4" w:rsidRDefault="0009250D" w:rsidP="0009250D">
      <w:pPr>
        <w:pStyle w:val="DefaultText1"/>
        <w:jc w:val="both"/>
        <w:rPr>
          <w:rFonts w:asciiTheme="minorHAnsi" w:hAnsiTheme="minorHAnsi"/>
        </w:rPr>
      </w:pPr>
      <w:r w:rsidRPr="00FA5BD4">
        <w:rPr>
          <w:rFonts w:asciiTheme="minorHAnsi" w:hAnsiTheme="minorHAnsi"/>
        </w:rPr>
        <w:t xml:space="preserve">A Supplementary Pension </w:t>
      </w:r>
      <w:r w:rsidRPr="00FA5BD4">
        <w:rPr>
          <w:rFonts w:asciiTheme="minorHAnsi" w:hAnsiTheme="minorHAnsi"/>
          <w:b/>
          <w:i/>
        </w:rPr>
        <w:t>may</w:t>
      </w:r>
      <w:r w:rsidRPr="00FA5BD4">
        <w:rPr>
          <w:rFonts w:asciiTheme="minorHAnsi" w:hAnsiTheme="minorHAnsi"/>
        </w:rPr>
        <w:t xml:space="preserve"> be payable following retirement if the total of the combined occupational pension and whatever Social Welfare benefit is payable is less than the occupational pension that would have been payable had coordination not applied. The conditions for the payment of the Supplementary pension are that the pensioner:</w:t>
      </w:r>
    </w:p>
    <w:p w:rsidR="0009250D" w:rsidRPr="00FA5BD4" w:rsidRDefault="0009250D" w:rsidP="0009250D">
      <w:pPr>
        <w:pStyle w:val="DefaultText1"/>
        <w:jc w:val="both"/>
        <w:rPr>
          <w:rFonts w:asciiTheme="minorHAnsi" w:hAnsiTheme="minorHAnsi"/>
        </w:rPr>
      </w:pPr>
    </w:p>
    <w:p w:rsidR="0009250D" w:rsidRPr="00FA5BD4" w:rsidRDefault="0009250D" w:rsidP="0009250D">
      <w:pPr>
        <w:pStyle w:val="DefaultText1"/>
        <w:numPr>
          <w:ilvl w:val="0"/>
          <w:numId w:val="3"/>
        </w:numPr>
        <w:ind w:hanging="900"/>
        <w:jc w:val="both"/>
        <w:rPr>
          <w:rFonts w:asciiTheme="minorHAnsi" w:hAnsiTheme="minorHAnsi"/>
        </w:rPr>
      </w:pPr>
      <w:r w:rsidRPr="00FA5BD4">
        <w:rPr>
          <w:rFonts w:asciiTheme="minorHAnsi" w:hAnsiTheme="minorHAnsi"/>
        </w:rPr>
        <w:t xml:space="preserve">is not </w:t>
      </w:r>
      <w:r w:rsidR="00B03211" w:rsidRPr="00FA5BD4">
        <w:rPr>
          <w:rFonts w:asciiTheme="minorHAnsi" w:hAnsiTheme="minorHAnsi"/>
        </w:rPr>
        <w:t>in employment or self-employment</w:t>
      </w:r>
    </w:p>
    <w:p w:rsidR="0009250D" w:rsidRPr="00FA5BD4" w:rsidRDefault="0009250D" w:rsidP="0009250D">
      <w:pPr>
        <w:pStyle w:val="DefaultText1"/>
        <w:ind w:left="1440"/>
        <w:jc w:val="both"/>
        <w:rPr>
          <w:rFonts w:asciiTheme="minorHAnsi" w:hAnsiTheme="minorHAnsi"/>
        </w:rPr>
      </w:pPr>
      <w:r w:rsidRPr="00FA5BD4">
        <w:rPr>
          <w:rFonts w:asciiTheme="minorHAnsi" w:hAnsiTheme="minorHAnsi"/>
          <w:b/>
        </w:rPr>
        <w:lastRenderedPageBreak/>
        <w:t>and</w:t>
      </w:r>
      <w:r w:rsidRPr="00FA5BD4">
        <w:rPr>
          <w:rFonts w:asciiTheme="minorHAnsi" w:hAnsiTheme="minorHAnsi"/>
          <w:b/>
        </w:rPr>
        <w:tab/>
      </w:r>
      <w:r w:rsidRPr="00FA5BD4">
        <w:rPr>
          <w:rFonts w:asciiTheme="minorHAnsi" w:hAnsiTheme="minorHAnsi"/>
          <w:b/>
        </w:rPr>
        <w:tab/>
      </w:r>
      <w:r w:rsidRPr="00FA5BD4">
        <w:rPr>
          <w:rFonts w:asciiTheme="minorHAnsi" w:hAnsiTheme="minorHAnsi"/>
          <w:b/>
        </w:rPr>
        <w:tab/>
      </w:r>
      <w:r w:rsidRPr="00FA5BD4">
        <w:rPr>
          <w:rFonts w:asciiTheme="minorHAnsi" w:hAnsiTheme="minorHAnsi"/>
          <w:b/>
        </w:rPr>
        <w:tab/>
      </w:r>
    </w:p>
    <w:p w:rsidR="0009250D" w:rsidRPr="00FA5BD4" w:rsidRDefault="0009250D" w:rsidP="0009250D">
      <w:pPr>
        <w:pStyle w:val="DefaultText1"/>
        <w:numPr>
          <w:ilvl w:val="0"/>
          <w:numId w:val="3"/>
        </w:numPr>
        <w:ind w:right="720" w:hanging="900"/>
        <w:jc w:val="both"/>
        <w:rPr>
          <w:rFonts w:asciiTheme="minorHAnsi" w:hAnsiTheme="minorHAnsi"/>
        </w:rPr>
      </w:pPr>
      <w:r w:rsidRPr="00FA5BD4">
        <w:rPr>
          <w:rFonts w:asciiTheme="minorHAnsi" w:hAnsiTheme="minorHAnsi"/>
        </w:rPr>
        <w:t xml:space="preserve">fails to qualify for the full rate of </w:t>
      </w:r>
      <w:r w:rsidRPr="00FA5BD4">
        <w:rPr>
          <w:rFonts w:asciiTheme="minorHAnsi" w:hAnsiTheme="minorHAnsi"/>
          <w:szCs w:val="24"/>
        </w:rPr>
        <w:t>State Pension (Contributory)</w:t>
      </w:r>
      <w:r w:rsidRPr="00FA5BD4">
        <w:rPr>
          <w:rFonts w:asciiTheme="minorHAnsi" w:hAnsiTheme="minorHAnsi"/>
        </w:rPr>
        <w:t>, or Disability Benefit (if over 65), or, if under 65, fails to qualify for the full rate of Jobseeker’s Benefit, Invalidity Pension or Disability Pension through no fault of their own</w:t>
      </w:r>
      <w:r w:rsidR="00B03211" w:rsidRPr="00FA5BD4">
        <w:rPr>
          <w:rFonts w:asciiTheme="minorHAnsi" w:hAnsiTheme="minorHAnsi"/>
        </w:rPr>
        <w:t>.</w:t>
      </w:r>
    </w:p>
    <w:p w:rsidR="0009250D" w:rsidRPr="00FA5BD4" w:rsidRDefault="0009250D" w:rsidP="0009250D">
      <w:pPr>
        <w:pStyle w:val="DefaultText1"/>
        <w:tabs>
          <w:tab w:val="left" w:pos="360"/>
        </w:tabs>
        <w:ind w:left="1080" w:right="720"/>
        <w:jc w:val="both"/>
        <w:rPr>
          <w:rFonts w:asciiTheme="minorHAnsi" w:hAnsiTheme="minorHAnsi"/>
        </w:rPr>
      </w:pPr>
      <w:r w:rsidRPr="00FA5BD4">
        <w:rPr>
          <w:rFonts w:asciiTheme="minorHAnsi" w:hAnsiTheme="minorHAnsi"/>
        </w:rPr>
        <w:tab/>
      </w:r>
    </w:p>
    <w:p w:rsidR="0009250D" w:rsidRPr="00FA5BD4" w:rsidRDefault="0009250D" w:rsidP="0009250D">
      <w:pPr>
        <w:pStyle w:val="DefaultText1"/>
        <w:jc w:val="both"/>
        <w:rPr>
          <w:rFonts w:asciiTheme="minorHAnsi" w:hAnsiTheme="minorHAnsi"/>
        </w:rPr>
      </w:pPr>
      <w:r w:rsidRPr="00FA5BD4">
        <w:rPr>
          <w:rFonts w:asciiTheme="minorHAnsi" w:hAnsiTheme="minorHAnsi"/>
        </w:rPr>
        <w:t>Subject to the above criteria, a Supplementary Pension equal to the difference between the pension payable had co</w:t>
      </w:r>
      <w:r w:rsidR="00B03211" w:rsidRPr="00FA5BD4">
        <w:rPr>
          <w:rFonts w:asciiTheme="minorHAnsi" w:hAnsiTheme="minorHAnsi"/>
        </w:rPr>
        <w:t>-</w:t>
      </w:r>
      <w:r w:rsidRPr="00FA5BD4">
        <w:rPr>
          <w:rFonts w:asciiTheme="minorHAnsi" w:hAnsiTheme="minorHAnsi"/>
        </w:rPr>
        <w:t>ordination not applied and the total of occupational pension and Social Welfare benefit may be paid. Since the Supplementary Pension will only be paid while the person concerned fulfills all of the above criteria it may only be payable for a short period. It is also worth noting that, where a member has relatively low service, it is necessary for the Social Welfare benefit payable to be much less than the maximum rate before a Supplementary Pension becomes payable.</w:t>
      </w:r>
    </w:p>
    <w:p w:rsidR="0009250D" w:rsidRPr="00FA5BD4" w:rsidRDefault="0009250D" w:rsidP="0009250D">
      <w:pPr>
        <w:pStyle w:val="DefaultText1"/>
        <w:jc w:val="both"/>
        <w:rPr>
          <w:rFonts w:asciiTheme="minorHAnsi" w:hAnsiTheme="minorHAnsi"/>
        </w:rPr>
      </w:pPr>
    </w:p>
    <w:p w:rsidR="0009250D" w:rsidRPr="00FA5BD4" w:rsidRDefault="0009250D" w:rsidP="0009250D">
      <w:pPr>
        <w:pStyle w:val="DefaultText1"/>
        <w:jc w:val="both"/>
        <w:rPr>
          <w:rFonts w:asciiTheme="minorHAnsi" w:hAnsiTheme="minorHAnsi"/>
        </w:rPr>
      </w:pPr>
      <w:r w:rsidRPr="00FA5BD4">
        <w:rPr>
          <w:rFonts w:asciiTheme="minorHAnsi" w:hAnsiTheme="minorHAnsi"/>
        </w:rPr>
        <w:t>In the example quoted above, the occupational pension payable, had co-ordination not applied, would have been €</w:t>
      </w:r>
      <w:r w:rsidR="00CE63ED" w:rsidRPr="00FA5BD4">
        <w:rPr>
          <w:rFonts w:asciiTheme="minorHAnsi" w:hAnsiTheme="minorHAnsi"/>
        </w:rPr>
        <w:t>11,250</w:t>
      </w:r>
      <w:r w:rsidRPr="00FA5BD4">
        <w:rPr>
          <w:rFonts w:asciiTheme="minorHAnsi" w:hAnsiTheme="minorHAnsi"/>
        </w:rPr>
        <w:t>. The actual rate of personal Social Welfare Benefit in this case would, therefore, need to be less than €</w:t>
      </w:r>
      <w:r w:rsidR="00CE63ED" w:rsidRPr="00FA5BD4">
        <w:rPr>
          <w:rFonts w:asciiTheme="minorHAnsi" w:hAnsiTheme="minorHAnsi"/>
        </w:rPr>
        <w:t>6,008</w:t>
      </w:r>
      <w:r w:rsidRPr="00FA5BD4">
        <w:rPr>
          <w:rFonts w:asciiTheme="minorHAnsi" w:hAnsiTheme="minorHAnsi"/>
        </w:rPr>
        <w:t xml:space="preserve"> at the time payment of pension commences before the pensioner would qualify for a Supplementary Pension.</w:t>
      </w:r>
    </w:p>
    <w:p w:rsidR="0009250D" w:rsidRPr="00FA5BD4" w:rsidRDefault="0009250D" w:rsidP="0009250D">
      <w:pPr>
        <w:pStyle w:val="DefaultText1"/>
        <w:tabs>
          <w:tab w:val="left" w:pos="720"/>
        </w:tabs>
        <w:ind w:left="720" w:hanging="720"/>
        <w:jc w:val="both"/>
        <w:rPr>
          <w:rFonts w:asciiTheme="minorHAnsi" w:hAnsiTheme="minorHAnsi"/>
          <w:b/>
          <w:i/>
        </w:rPr>
      </w:pPr>
    </w:p>
    <w:p w:rsidR="0009250D" w:rsidRPr="00FA5BD4" w:rsidRDefault="0009250D" w:rsidP="0009250D">
      <w:pPr>
        <w:pStyle w:val="DefaultText1"/>
        <w:tabs>
          <w:tab w:val="left" w:pos="720"/>
        </w:tabs>
        <w:jc w:val="both"/>
        <w:rPr>
          <w:rFonts w:asciiTheme="minorHAnsi" w:hAnsiTheme="minorHAnsi"/>
          <w:b/>
          <w:i/>
          <w:smallCaps/>
        </w:rPr>
      </w:pPr>
      <w:r w:rsidRPr="00FA5BD4">
        <w:rPr>
          <w:rFonts w:asciiTheme="minorHAnsi" w:hAnsiTheme="minorHAnsi"/>
          <w:b/>
          <w:i/>
        </w:rPr>
        <w:t xml:space="preserve">Pensionable service </w:t>
      </w:r>
    </w:p>
    <w:p w:rsidR="0009250D" w:rsidRPr="00FA5BD4" w:rsidRDefault="0009250D" w:rsidP="0009250D">
      <w:pPr>
        <w:pStyle w:val="DefaultText1"/>
        <w:tabs>
          <w:tab w:val="left" w:pos="720"/>
        </w:tabs>
        <w:jc w:val="both"/>
        <w:rPr>
          <w:rFonts w:asciiTheme="minorHAnsi" w:hAnsiTheme="minorHAnsi"/>
        </w:rPr>
      </w:pPr>
      <w:r w:rsidRPr="00FA5BD4">
        <w:rPr>
          <w:rFonts w:asciiTheme="minorHAnsi" w:hAnsiTheme="minorHAnsi"/>
        </w:rPr>
        <w:t>This form gi</w:t>
      </w:r>
      <w:r w:rsidR="00B03211" w:rsidRPr="00FA5BD4">
        <w:rPr>
          <w:rFonts w:asciiTheme="minorHAnsi" w:hAnsiTheme="minorHAnsi"/>
        </w:rPr>
        <w:t>ves details of actual</w:t>
      </w:r>
      <w:r w:rsidRPr="00FA5BD4">
        <w:rPr>
          <w:rFonts w:asciiTheme="minorHAnsi" w:hAnsiTheme="minorHAnsi"/>
        </w:rPr>
        <w:t xml:space="preserve"> service and reckonable service. Periods during which the member was not employed on a whole-time basis are reckonable in the proportion </w:t>
      </w:r>
      <w:r w:rsidR="007465BF" w:rsidRPr="00FA5BD4">
        <w:rPr>
          <w:rFonts w:asciiTheme="minorHAnsi" w:hAnsiTheme="minorHAnsi"/>
        </w:rPr>
        <w:t>w</w:t>
      </w:r>
      <w:r w:rsidRPr="00FA5BD4">
        <w:rPr>
          <w:rFonts w:asciiTheme="minorHAnsi" w:hAnsiTheme="minorHAnsi"/>
        </w:rPr>
        <w:t>hich they bear to whole-time service.</w:t>
      </w:r>
      <w:r w:rsidR="00B03211" w:rsidRPr="00FA5BD4">
        <w:rPr>
          <w:rFonts w:asciiTheme="minorHAnsi" w:hAnsiTheme="minorHAnsi"/>
        </w:rPr>
        <w:t xml:space="preserve">  Periods of unpaid absences are not reckonable.</w:t>
      </w:r>
    </w:p>
    <w:p w:rsidR="007465BF" w:rsidRPr="00FA5BD4" w:rsidRDefault="007465BF" w:rsidP="00B03211">
      <w:pPr>
        <w:pStyle w:val="DefaultText1"/>
        <w:jc w:val="both"/>
        <w:rPr>
          <w:rFonts w:asciiTheme="minorHAnsi" w:hAnsiTheme="minorHAnsi"/>
        </w:rPr>
      </w:pPr>
    </w:p>
    <w:p w:rsidR="007465BF" w:rsidRPr="00FA5BD4" w:rsidRDefault="007465BF" w:rsidP="007465BF">
      <w:pPr>
        <w:pStyle w:val="DefaultText1"/>
        <w:tabs>
          <w:tab w:val="left" w:pos="720"/>
        </w:tabs>
        <w:jc w:val="both"/>
        <w:rPr>
          <w:rFonts w:asciiTheme="minorHAnsi" w:hAnsiTheme="minorHAnsi"/>
          <w:b/>
          <w:i/>
          <w:smallCaps/>
          <w:highlight w:val="cyan"/>
        </w:rPr>
      </w:pPr>
      <w:r w:rsidRPr="00FA5BD4">
        <w:rPr>
          <w:rFonts w:asciiTheme="minorHAnsi" w:hAnsiTheme="minorHAnsi"/>
          <w:b/>
          <w:i/>
          <w:highlight w:val="cyan"/>
        </w:rPr>
        <w:t>Survivors’ and children’s pensions</w:t>
      </w:r>
    </w:p>
    <w:p w:rsidR="007465BF" w:rsidRPr="00FA5BD4" w:rsidRDefault="007465BF" w:rsidP="007465BF">
      <w:pPr>
        <w:pStyle w:val="DefaultText1"/>
        <w:tabs>
          <w:tab w:val="left" w:pos="720"/>
        </w:tabs>
        <w:jc w:val="both"/>
        <w:rPr>
          <w:rFonts w:asciiTheme="minorHAnsi" w:hAnsiTheme="minorHAnsi"/>
          <w:highlight w:val="cyan"/>
        </w:rPr>
      </w:pPr>
    </w:p>
    <w:p w:rsidR="007465BF" w:rsidRPr="00FA5BD4" w:rsidRDefault="007465BF" w:rsidP="007465BF">
      <w:pPr>
        <w:pStyle w:val="DefaultText1"/>
        <w:jc w:val="both"/>
        <w:rPr>
          <w:rFonts w:asciiTheme="minorHAnsi" w:hAnsiTheme="minorHAnsi"/>
          <w:highlight w:val="cyan"/>
        </w:rPr>
      </w:pPr>
      <w:r w:rsidRPr="00FA5BD4">
        <w:rPr>
          <w:rFonts w:asciiTheme="minorHAnsi" w:hAnsiTheme="minorHAnsi"/>
          <w:highlight w:val="cyan"/>
        </w:rPr>
        <w:t xml:space="preserve">If </w:t>
      </w:r>
      <w:r w:rsidRPr="00FA5BD4">
        <w:rPr>
          <w:rFonts w:asciiTheme="minorHAnsi" w:hAnsiTheme="minorHAnsi"/>
          <w:b/>
          <w:highlight w:val="cyan"/>
        </w:rPr>
        <w:t xml:space="preserve">member’s name </w:t>
      </w:r>
      <w:r w:rsidRPr="00FA5BD4">
        <w:rPr>
          <w:rFonts w:asciiTheme="minorHAnsi" w:hAnsiTheme="minorHAnsi"/>
          <w:highlight w:val="cyan"/>
        </w:rPr>
        <w:t>has eligibility under the Survivors’ &amp; Children’s scheme and</w:t>
      </w:r>
      <w:r w:rsidRPr="00FA5BD4">
        <w:rPr>
          <w:rFonts w:asciiTheme="minorHAnsi" w:hAnsiTheme="minorHAnsi"/>
          <w:b/>
          <w:highlight w:val="cyan"/>
        </w:rPr>
        <w:t xml:space="preserve"> </w:t>
      </w:r>
      <w:r w:rsidRPr="00FA5BD4">
        <w:rPr>
          <w:rFonts w:asciiTheme="minorHAnsi" w:hAnsiTheme="minorHAnsi"/>
          <w:highlight w:val="cyan"/>
        </w:rPr>
        <w:t xml:space="preserve">resigns or retires on age grounds, any spouse’s/civil partner’s pension payable will be calculated as one-half of </w:t>
      </w:r>
      <w:r w:rsidRPr="00FA5BD4">
        <w:rPr>
          <w:rFonts w:asciiTheme="minorHAnsi" w:hAnsiTheme="minorHAnsi"/>
          <w:b/>
          <w:highlight w:val="cyan"/>
        </w:rPr>
        <w:t xml:space="preserve">member’s name </w:t>
      </w:r>
      <w:r w:rsidRPr="00FA5BD4">
        <w:rPr>
          <w:rFonts w:asciiTheme="minorHAnsi" w:hAnsiTheme="minorHAnsi"/>
          <w:highlight w:val="cyan"/>
        </w:rPr>
        <w:t xml:space="preserve">pension </w:t>
      </w:r>
      <w:r w:rsidRPr="00FA5BD4">
        <w:rPr>
          <w:rFonts w:asciiTheme="minorHAnsi" w:hAnsiTheme="minorHAnsi"/>
          <w:highlight w:val="cyan"/>
          <w:u w:val="single"/>
        </w:rPr>
        <w:t>where the service was not co</w:t>
      </w:r>
      <w:r w:rsidRPr="00FA5BD4">
        <w:rPr>
          <w:rFonts w:asciiTheme="minorHAnsi" w:hAnsiTheme="minorHAnsi"/>
          <w:highlight w:val="cyan"/>
        </w:rPr>
        <w:t>-</w:t>
      </w:r>
      <w:r w:rsidRPr="00FA5BD4">
        <w:rPr>
          <w:rFonts w:asciiTheme="minorHAnsi" w:hAnsiTheme="minorHAnsi"/>
          <w:highlight w:val="cyan"/>
          <w:u w:val="single"/>
        </w:rPr>
        <w:t>ordinated</w:t>
      </w:r>
      <w:r w:rsidRPr="00FA5BD4">
        <w:rPr>
          <w:rFonts w:asciiTheme="minorHAnsi" w:hAnsiTheme="minorHAnsi"/>
          <w:highlight w:val="cyan"/>
        </w:rPr>
        <w:t xml:space="preserve">. If </w:t>
      </w:r>
      <w:r w:rsidRPr="00FA5BD4">
        <w:rPr>
          <w:rFonts w:asciiTheme="minorHAnsi" w:hAnsiTheme="minorHAnsi"/>
          <w:b/>
          <w:highlight w:val="cyan"/>
        </w:rPr>
        <w:t xml:space="preserve">member’s name </w:t>
      </w:r>
      <w:r w:rsidRPr="00FA5BD4">
        <w:rPr>
          <w:rFonts w:asciiTheme="minorHAnsi" w:hAnsiTheme="minorHAnsi"/>
          <w:highlight w:val="cyan"/>
        </w:rPr>
        <w:t>retires on health grounds the calculation will take account of actual service and potential service to age 65 or to the end date of the contract as appropriate, subject to maximum reckonable service of 40 years.</w:t>
      </w:r>
    </w:p>
    <w:p w:rsidR="007465BF" w:rsidRPr="00FA5BD4" w:rsidRDefault="007465BF" w:rsidP="007465BF">
      <w:pPr>
        <w:pStyle w:val="DefaultText1"/>
        <w:jc w:val="both"/>
        <w:rPr>
          <w:rFonts w:asciiTheme="minorHAnsi" w:hAnsiTheme="minorHAnsi"/>
          <w:highlight w:val="cyan"/>
        </w:rPr>
      </w:pPr>
      <w:r w:rsidRPr="00FA5BD4">
        <w:rPr>
          <w:rFonts w:asciiTheme="minorHAnsi" w:hAnsiTheme="minorHAnsi"/>
          <w:highlight w:val="cyan"/>
        </w:rPr>
        <w:t xml:space="preserve">If </w:t>
      </w:r>
      <w:r w:rsidRPr="00FA5BD4">
        <w:rPr>
          <w:rFonts w:asciiTheme="minorHAnsi" w:hAnsiTheme="minorHAnsi"/>
          <w:b/>
          <w:highlight w:val="cyan"/>
        </w:rPr>
        <w:t xml:space="preserve">member’s name </w:t>
      </w:r>
      <w:r w:rsidRPr="00FA5BD4">
        <w:rPr>
          <w:rFonts w:asciiTheme="minorHAnsi" w:hAnsiTheme="minorHAnsi"/>
          <w:highlight w:val="cyan"/>
        </w:rPr>
        <w:t xml:space="preserve">resigns or retires on age grounds, and has eligibility under the Survivors’ &amp; Children’s scheme, any spouse’s/civil partner’s pension payable relating to </w:t>
      </w:r>
      <w:r w:rsidRPr="00FA5BD4">
        <w:rPr>
          <w:rFonts w:asciiTheme="minorHAnsi" w:hAnsiTheme="minorHAnsi"/>
          <w:highlight w:val="cyan"/>
          <w:u w:val="single"/>
        </w:rPr>
        <w:t>service which was co-ordinated</w:t>
      </w:r>
      <w:r w:rsidRPr="00FA5BD4">
        <w:rPr>
          <w:rFonts w:asciiTheme="minorHAnsi" w:hAnsiTheme="minorHAnsi"/>
          <w:highlight w:val="cyan"/>
        </w:rPr>
        <w:t xml:space="preserve">  will be calculated as one-half of a notional member’s pension co-ordination by once the State Pension Contributory.</w:t>
      </w:r>
    </w:p>
    <w:p w:rsidR="007465BF" w:rsidRPr="00FA5BD4" w:rsidRDefault="007465BF" w:rsidP="007465BF">
      <w:pPr>
        <w:pStyle w:val="DefaultText1"/>
        <w:jc w:val="both"/>
        <w:rPr>
          <w:rFonts w:asciiTheme="minorHAnsi" w:hAnsiTheme="minorHAnsi"/>
          <w:highlight w:val="cyan"/>
        </w:rPr>
      </w:pPr>
    </w:p>
    <w:p w:rsidR="007465BF" w:rsidRPr="00FA5BD4" w:rsidRDefault="007465BF" w:rsidP="007465BF">
      <w:pPr>
        <w:pStyle w:val="DefaultText1"/>
        <w:jc w:val="both"/>
        <w:rPr>
          <w:rFonts w:asciiTheme="minorHAnsi" w:hAnsiTheme="minorHAnsi"/>
        </w:rPr>
      </w:pPr>
      <w:r w:rsidRPr="00FA5BD4">
        <w:rPr>
          <w:rFonts w:asciiTheme="minorHAnsi" w:hAnsiTheme="minorHAnsi"/>
          <w:highlight w:val="cyan"/>
        </w:rPr>
        <w:t xml:space="preserve">If </w:t>
      </w:r>
      <w:r w:rsidRPr="00FA5BD4">
        <w:rPr>
          <w:rFonts w:asciiTheme="minorHAnsi" w:hAnsiTheme="minorHAnsi"/>
          <w:b/>
          <w:highlight w:val="cyan"/>
        </w:rPr>
        <w:t xml:space="preserve">member’s name </w:t>
      </w:r>
      <w:r w:rsidRPr="00FA5BD4">
        <w:rPr>
          <w:rFonts w:asciiTheme="minorHAnsi" w:hAnsiTheme="minorHAnsi"/>
          <w:highlight w:val="cyan"/>
        </w:rPr>
        <w:t>retires on health grounds, or dies in service, the calculation will take account of actual service and potential service to age 65 or to the end date of the contract as appropriate, subject to maximum reckonable service of 40 years.</w:t>
      </w:r>
    </w:p>
    <w:p w:rsidR="007465BF" w:rsidRPr="00FA5BD4" w:rsidRDefault="007465BF" w:rsidP="00B03211">
      <w:pPr>
        <w:pStyle w:val="DefaultText1"/>
        <w:jc w:val="both"/>
        <w:rPr>
          <w:rFonts w:asciiTheme="minorHAnsi" w:hAnsiTheme="minorHAnsi"/>
        </w:rPr>
      </w:pPr>
    </w:p>
    <w:p w:rsidR="007465BF" w:rsidRPr="00FA5BD4" w:rsidRDefault="007428AC" w:rsidP="00B03211">
      <w:pPr>
        <w:pStyle w:val="DefaultText1"/>
        <w:jc w:val="both"/>
        <w:rPr>
          <w:rFonts w:asciiTheme="minorHAnsi" w:hAnsiTheme="minorHAnsi"/>
        </w:rPr>
      </w:pPr>
      <w:r w:rsidRPr="00FA5BD4">
        <w:rPr>
          <w:rFonts w:asciiTheme="minorHAnsi" w:hAnsiTheme="minorHAnsi"/>
        </w:rPr>
        <w:t xml:space="preserve">    </w:t>
      </w:r>
    </w:p>
    <w:p w:rsidR="0009250D" w:rsidRPr="00FA5BD4" w:rsidRDefault="0009250D" w:rsidP="00FA5BD4">
      <w:pPr>
        <w:pStyle w:val="DefaultText1"/>
        <w:tabs>
          <w:tab w:val="left" w:pos="720"/>
        </w:tabs>
        <w:jc w:val="both"/>
        <w:rPr>
          <w:rFonts w:asciiTheme="minorHAnsi" w:hAnsiTheme="minorHAnsi"/>
          <w:b/>
          <w:i/>
        </w:rPr>
      </w:pPr>
      <w:r w:rsidRPr="00FA5BD4">
        <w:rPr>
          <w:rFonts w:asciiTheme="minorHAnsi" w:hAnsiTheme="minorHAnsi"/>
          <w:b/>
          <w:i/>
        </w:rPr>
        <w:t xml:space="preserve">Pension </w:t>
      </w:r>
      <w:r w:rsidR="000D67AD" w:rsidRPr="00FA5BD4">
        <w:rPr>
          <w:rFonts w:asciiTheme="minorHAnsi" w:hAnsiTheme="minorHAnsi"/>
          <w:b/>
          <w:i/>
        </w:rPr>
        <w:t>Adjustments post retirement</w:t>
      </w:r>
    </w:p>
    <w:p w:rsidR="000D67AD" w:rsidRPr="00FA5BD4" w:rsidRDefault="000D67AD" w:rsidP="00E53029">
      <w:pPr>
        <w:pStyle w:val="DefaultText1"/>
        <w:tabs>
          <w:tab w:val="left" w:pos="720"/>
        </w:tabs>
        <w:ind w:hanging="720"/>
        <w:jc w:val="both"/>
        <w:rPr>
          <w:rFonts w:asciiTheme="minorHAnsi" w:hAnsiTheme="minorHAnsi"/>
          <w:color w:val="FF0000"/>
        </w:rPr>
      </w:pPr>
      <w:r w:rsidRPr="00FA5BD4">
        <w:rPr>
          <w:rFonts w:asciiTheme="minorHAnsi" w:hAnsiTheme="minorHAnsi"/>
        </w:rPr>
        <w:tab/>
        <w:t xml:space="preserve">Where co-ordination applies, the original pension and eligibility for a supplementary pension are calculated in respect of the co-ordinated service by reference to the State Pension Contributory payable at the date of resignation.  The occupation pension is not </w:t>
      </w:r>
      <w:r w:rsidRPr="00FA5BD4">
        <w:rPr>
          <w:rFonts w:asciiTheme="minorHAnsi" w:hAnsiTheme="minorHAnsi"/>
        </w:rPr>
        <w:lastRenderedPageBreak/>
        <w:t>affected by subsequent changes in Social Welfare benefits and pension adjustments are applied to the occupational pension only.</w:t>
      </w:r>
    </w:p>
    <w:p w:rsidR="0009250D" w:rsidRPr="00FA5BD4" w:rsidRDefault="0009250D" w:rsidP="00E53029">
      <w:pPr>
        <w:pStyle w:val="DefaultText1"/>
        <w:tabs>
          <w:tab w:val="left" w:pos="720"/>
        </w:tabs>
        <w:rPr>
          <w:rFonts w:asciiTheme="minorHAnsi" w:hAnsiTheme="minorHAnsi"/>
        </w:rPr>
      </w:pPr>
    </w:p>
    <w:p w:rsidR="0009250D" w:rsidRPr="00FA5BD4" w:rsidRDefault="0009250D" w:rsidP="0009250D">
      <w:pPr>
        <w:pStyle w:val="DefaultText1"/>
        <w:tabs>
          <w:tab w:val="left" w:pos="720"/>
        </w:tabs>
        <w:ind w:left="720" w:hanging="720"/>
        <w:jc w:val="both"/>
        <w:rPr>
          <w:rFonts w:asciiTheme="minorHAnsi" w:hAnsiTheme="minorHAnsi"/>
          <w:smallCaps/>
        </w:rPr>
      </w:pPr>
      <w:r w:rsidRPr="00FA5BD4">
        <w:rPr>
          <w:rFonts w:asciiTheme="minorHAnsi" w:hAnsiTheme="minorHAnsi"/>
          <w:b/>
          <w:i/>
        </w:rPr>
        <w:t xml:space="preserve">Actuarial valuation </w:t>
      </w:r>
      <w:r w:rsidRPr="00FA5BD4">
        <w:rPr>
          <w:rFonts w:asciiTheme="minorHAnsi" w:hAnsiTheme="minorHAnsi"/>
          <w:b/>
          <w:i/>
          <w:color w:val="FF0000"/>
        </w:rPr>
        <w:t>(insert only if valuation is given)</w:t>
      </w:r>
    </w:p>
    <w:p w:rsidR="0009250D" w:rsidRPr="00FA5BD4" w:rsidRDefault="0009250D" w:rsidP="0009250D">
      <w:pPr>
        <w:pStyle w:val="DefaultText1"/>
        <w:tabs>
          <w:tab w:val="left" w:pos="720"/>
        </w:tabs>
        <w:jc w:val="both"/>
        <w:rPr>
          <w:rFonts w:asciiTheme="minorHAnsi" w:hAnsiTheme="minorHAnsi"/>
        </w:rPr>
      </w:pPr>
      <w:r w:rsidRPr="00FA5BD4">
        <w:rPr>
          <w:rFonts w:asciiTheme="minorHAnsi" w:hAnsiTheme="minorHAnsi"/>
        </w:rPr>
        <w:t xml:space="preserve">The actuarial value of </w:t>
      </w:r>
      <w:r w:rsidRPr="00FA5BD4">
        <w:rPr>
          <w:rFonts w:asciiTheme="minorHAnsi" w:hAnsiTheme="minorHAnsi"/>
          <w:b/>
          <w:highlight w:val="yellow"/>
        </w:rPr>
        <w:t>[member’s name]</w:t>
      </w:r>
      <w:r w:rsidRPr="00FA5BD4">
        <w:rPr>
          <w:rFonts w:asciiTheme="minorHAnsi" w:hAnsiTheme="minorHAnsi"/>
        </w:rPr>
        <w:t xml:space="preserve"> entitlements is calculated in accordance with a standard set of tables devised for members of Public Service occupational pension schemes. These tables were prepared in accordance with Guidelines issued by the Society of Actuaries of Ireland (i.e. Guidance Note GN11A) which covers actuarial calculations required under the Family Law Act, 1995, and the Family Law (Divorce) Act, 1996. Paragraph 4.1 of Guidance Note GN11A states: </w:t>
      </w:r>
    </w:p>
    <w:p w:rsidR="0009250D" w:rsidRPr="00FA5BD4" w:rsidRDefault="0009250D" w:rsidP="0009250D">
      <w:pPr>
        <w:pStyle w:val="DefaultText1"/>
        <w:tabs>
          <w:tab w:val="left" w:pos="720"/>
        </w:tabs>
        <w:ind w:left="720" w:hanging="720"/>
        <w:jc w:val="both"/>
        <w:rPr>
          <w:rFonts w:asciiTheme="minorHAnsi" w:hAnsiTheme="minorHAnsi"/>
        </w:rPr>
      </w:pPr>
    </w:p>
    <w:p w:rsidR="0009250D" w:rsidRPr="00FA5BD4" w:rsidRDefault="0009250D" w:rsidP="0009250D">
      <w:pPr>
        <w:pStyle w:val="DefaultText1"/>
        <w:tabs>
          <w:tab w:val="left" w:pos="720"/>
        </w:tabs>
        <w:ind w:left="720" w:hanging="720"/>
        <w:jc w:val="both"/>
        <w:rPr>
          <w:rFonts w:asciiTheme="minorHAnsi" w:hAnsiTheme="minorHAnsi"/>
        </w:rPr>
      </w:pPr>
      <w:r w:rsidRPr="00FA5BD4">
        <w:rPr>
          <w:rFonts w:asciiTheme="minorHAnsi" w:hAnsiTheme="minorHAnsi"/>
        </w:rPr>
        <w:tab/>
        <w:t>“</w:t>
      </w:r>
      <w:r w:rsidRPr="00FA5BD4">
        <w:rPr>
          <w:rFonts w:asciiTheme="minorHAnsi" w:hAnsiTheme="minorHAnsi"/>
          <w:i/>
        </w:rPr>
        <w:t>where the court directs the trustees of a defined benefit scheme to provide specified information, Article 48 stipulates that each element of the accrued retirement benefit of the member and the actuarial value of such benefits are to be calculated at a date specified by the trustees assuming, where the member is an active member, that the member’s reckonable service terminates on that date</w:t>
      </w:r>
      <w:r w:rsidRPr="00FA5BD4">
        <w:rPr>
          <w:rFonts w:asciiTheme="minorHAnsi" w:hAnsiTheme="minorHAnsi"/>
        </w:rPr>
        <w:t>”.</w:t>
      </w:r>
    </w:p>
    <w:p w:rsidR="0009250D" w:rsidRPr="00FA5BD4" w:rsidRDefault="0009250D" w:rsidP="0009250D">
      <w:pPr>
        <w:pStyle w:val="DefaultText1"/>
        <w:tabs>
          <w:tab w:val="left" w:pos="1480"/>
        </w:tabs>
        <w:ind w:left="1480" w:hanging="1480"/>
        <w:jc w:val="both"/>
        <w:rPr>
          <w:rFonts w:asciiTheme="minorHAnsi" w:hAnsiTheme="minorHAnsi"/>
        </w:rPr>
      </w:pPr>
    </w:p>
    <w:p w:rsidR="0071147C" w:rsidRPr="00FA5BD4" w:rsidRDefault="0009250D" w:rsidP="00A22D85">
      <w:pPr>
        <w:pStyle w:val="DefaultText1"/>
        <w:tabs>
          <w:tab w:val="left" w:pos="720"/>
        </w:tabs>
        <w:jc w:val="both"/>
        <w:rPr>
          <w:rFonts w:asciiTheme="minorHAnsi" w:hAnsiTheme="minorHAnsi"/>
        </w:rPr>
      </w:pPr>
      <w:r w:rsidRPr="00FA5BD4">
        <w:rPr>
          <w:rFonts w:asciiTheme="minorHAnsi" w:hAnsiTheme="minorHAnsi"/>
        </w:rPr>
        <w:t xml:space="preserve">In accordance with the Family Law legislation and relevant guidelines the actuarial values are calculated on the basis </w:t>
      </w:r>
      <w:r w:rsidR="000D67AD" w:rsidRPr="00FA5BD4">
        <w:rPr>
          <w:rFonts w:asciiTheme="minorHAnsi" w:hAnsiTheme="minorHAnsi"/>
        </w:rPr>
        <w:t>of the benefits coming into payment on the valuation date in accordance with the legislation.</w:t>
      </w:r>
      <w:r w:rsidRPr="00FA5BD4">
        <w:rPr>
          <w:rFonts w:asciiTheme="minorHAnsi" w:hAnsiTheme="minorHAnsi"/>
        </w:rPr>
        <w:t xml:space="preserve"> </w:t>
      </w:r>
      <w:bookmarkStart w:id="0" w:name="_GoBack"/>
      <w:bookmarkEnd w:id="0"/>
    </w:p>
    <w:sectPr w:rsidR="0071147C" w:rsidRPr="00FA5BD4" w:rsidSect="00FA5BD4">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BB" w:rsidRDefault="003F63BB" w:rsidP="003F63BB">
      <w:r>
        <w:separator/>
      </w:r>
    </w:p>
  </w:endnote>
  <w:endnote w:type="continuationSeparator" w:id="0">
    <w:p w:rsidR="003F63BB" w:rsidRDefault="003F63BB" w:rsidP="003F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195679"/>
      <w:docPartObj>
        <w:docPartGallery w:val="Page Numbers (Bottom of Page)"/>
        <w:docPartUnique/>
      </w:docPartObj>
    </w:sdtPr>
    <w:sdtEndPr>
      <w:rPr>
        <w:rFonts w:asciiTheme="minorHAnsi" w:hAnsiTheme="minorHAnsi"/>
        <w:noProof/>
      </w:rPr>
    </w:sdtEndPr>
    <w:sdtContent>
      <w:p w:rsidR="002624EC" w:rsidRPr="00FA5BD4" w:rsidRDefault="002624EC">
        <w:pPr>
          <w:pStyle w:val="Footer"/>
          <w:jc w:val="center"/>
          <w:rPr>
            <w:rFonts w:asciiTheme="minorHAnsi" w:hAnsiTheme="minorHAnsi"/>
          </w:rPr>
        </w:pPr>
        <w:r w:rsidRPr="00FA5BD4">
          <w:rPr>
            <w:rFonts w:asciiTheme="minorHAnsi" w:hAnsiTheme="minorHAnsi"/>
          </w:rPr>
          <w:fldChar w:fldCharType="begin"/>
        </w:r>
        <w:r w:rsidRPr="00FA5BD4">
          <w:rPr>
            <w:rFonts w:asciiTheme="minorHAnsi" w:hAnsiTheme="minorHAnsi"/>
          </w:rPr>
          <w:instrText xml:space="preserve"> PAGE   \* MERGEFORMAT </w:instrText>
        </w:r>
        <w:r w:rsidRPr="00FA5BD4">
          <w:rPr>
            <w:rFonts w:asciiTheme="minorHAnsi" w:hAnsiTheme="minorHAnsi"/>
          </w:rPr>
          <w:fldChar w:fldCharType="separate"/>
        </w:r>
        <w:r w:rsidR="00FA5BD4">
          <w:rPr>
            <w:rFonts w:asciiTheme="minorHAnsi" w:hAnsiTheme="minorHAnsi"/>
            <w:noProof/>
          </w:rPr>
          <w:t>2</w:t>
        </w:r>
        <w:r w:rsidRPr="00FA5BD4">
          <w:rPr>
            <w:rFonts w:asciiTheme="minorHAnsi" w:hAnsiTheme="minorHAnsi"/>
            <w:noProof/>
          </w:rPr>
          <w:fldChar w:fldCharType="end"/>
        </w:r>
      </w:p>
    </w:sdtContent>
  </w:sdt>
  <w:p w:rsidR="002624EC" w:rsidRDefault="00262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69467"/>
      <w:docPartObj>
        <w:docPartGallery w:val="Page Numbers (Bottom of Page)"/>
        <w:docPartUnique/>
      </w:docPartObj>
    </w:sdtPr>
    <w:sdtEndPr>
      <w:rPr>
        <w:noProof/>
      </w:rPr>
    </w:sdtEndPr>
    <w:sdtContent>
      <w:p w:rsidR="002624EC" w:rsidRDefault="002624EC">
        <w:pPr>
          <w:pStyle w:val="Footer"/>
          <w:jc w:val="center"/>
        </w:pPr>
        <w:r>
          <w:fldChar w:fldCharType="begin"/>
        </w:r>
        <w:r>
          <w:instrText xml:space="preserve"> PAGE   \* MERGEFORMAT </w:instrText>
        </w:r>
        <w:r>
          <w:fldChar w:fldCharType="separate"/>
        </w:r>
        <w:r w:rsidR="00FA5BD4">
          <w:rPr>
            <w:noProof/>
          </w:rPr>
          <w:t>1</w:t>
        </w:r>
        <w:r>
          <w:rPr>
            <w:noProof/>
          </w:rPr>
          <w:fldChar w:fldCharType="end"/>
        </w:r>
      </w:p>
    </w:sdtContent>
  </w:sdt>
  <w:p w:rsidR="002624EC" w:rsidRDefault="00262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BB" w:rsidRDefault="003F63BB" w:rsidP="003F63BB">
      <w:r>
        <w:separator/>
      </w:r>
    </w:p>
  </w:footnote>
  <w:footnote w:type="continuationSeparator" w:id="0">
    <w:p w:rsidR="003F63BB" w:rsidRDefault="003F63BB" w:rsidP="003F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BB" w:rsidRPr="003F63BB" w:rsidRDefault="003F63BB" w:rsidP="003F63BB">
    <w:pPr>
      <w:pStyle w:val="Header"/>
      <w:jc w:val="right"/>
      <w:rPr>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EC" w:rsidRPr="00FA5BD4" w:rsidRDefault="002624EC" w:rsidP="002624EC">
    <w:pPr>
      <w:pStyle w:val="Header"/>
      <w:jc w:val="center"/>
      <w:rPr>
        <w:rFonts w:asciiTheme="minorHAnsi" w:hAnsiTheme="minorHAnsi"/>
        <w:lang w:val="en-IE"/>
      </w:rPr>
    </w:pPr>
    <w:r w:rsidRPr="00FA5BD4">
      <w:rPr>
        <w:rFonts w:asciiTheme="minorHAnsi" w:hAnsiTheme="minorHAnsi"/>
        <w:lang w:val="en-IE"/>
      </w:rPr>
      <w:t>&lt;</w:t>
    </w:r>
    <w:r w:rsidRPr="00FA5BD4">
      <w:rPr>
        <w:rFonts w:asciiTheme="minorHAnsi" w:hAnsiTheme="minorHAnsi"/>
        <w:color w:val="FF0000"/>
        <w:lang w:val="en-IE"/>
      </w:rPr>
      <w:t>ETB HEADED PAPER</w:t>
    </w:r>
    <w:r w:rsidRPr="00FA5BD4">
      <w:rPr>
        <w:rFonts w:asciiTheme="minorHAnsi" w:hAnsiTheme="minorHAnsi"/>
        <w:lang w:val="en-IE"/>
      </w:rPr>
      <w:t>&gt;</w:t>
    </w:r>
  </w:p>
  <w:p w:rsidR="002624EC" w:rsidRPr="00FA5BD4" w:rsidRDefault="002624EC" w:rsidP="002624EC">
    <w:pPr>
      <w:pStyle w:val="Header"/>
      <w:jc w:val="right"/>
      <w:rPr>
        <w:rFonts w:asciiTheme="minorHAnsi" w:hAnsiTheme="minorHAnsi"/>
        <w:lang w:val="en-IE"/>
      </w:rPr>
    </w:pPr>
    <w:r w:rsidRPr="00FA5BD4">
      <w:rPr>
        <w:rFonts w:asciiTheme="minorHAnsi" w:hAnsiTheme="minorHAnsi"/>
        <w:lang w:val="en-IE"/>
      </w:rPr>
      <w:t>Apr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8E4"/>
    <w:multiLevelType w:val="hybridMultilevel"/>
    <w:tmpl w:val="62804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5D7515"/>
    <w:multiLevelType w:val="hybridMultilevel"/>
    <w:tmpl w:val="3438958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E172D85"/>
    <w:multiLevelType w:val="hybridMultilevel"/>
    <w:tmpl w:val="F26836E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003437B"/>
    <w:multiLevelType w:val="hybridMultilevel"/>
    <w:tmpl w:val="2D129060"/>
    <w:lvl w:ilvl="0" w:tplc="FFFFFFFF">
      <w:start w:val="1"/>
      <w:numFmt w:val="upperLetter"/>
      <w:lvlText w:val="%1."/>
      <w:lvlJc w:val="left"/>
      <w:pPr>
        <w:tabs>
          <w:tab w:val="num" w:pos="720"/>
        </w:tabs>
        <w:ind w:left="720" w:hanging="360"/>
      </w:pPr>
      <w:rPr>
        <w:color w:val="auto"/>
        <w:sz w:val="24"/>
        <w:szCs w:val="24"/>
      </w:rPr>
    </w:lvl>
    <w:lvl w:ilvl="1" w:tplc="FFFFFFFF">
      <w:start w:val="1"/>
      <w:numFmt w:val="upperLetter"/>
      <w:lvlText w:val="%2."/>
      <w:lvlJc w:val="left"/>
      <w:pPr>
        <w:tabs>
          <w:tab w:val="num" w:pos="1440"/>
        </w:tabs>
        <w:ind w:left="1440" w:hanging="360"/>
      </w:pPr>
      <w:rPr>
        <w:color w:val="auto"/>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CC03F20"/>
    <w:multiLevelType w:val="hybridMultilevel"/>
    <w:tmpl w:val="85FC7ED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0D"/>
    <w:rsid w:val="00053E79"/>
    <w:rsid w:val="0009250D"/>
    <w:rsid w:val="000D67AD"/>
    <w:rsid w:val="002624EC"/>
    <w:rsid w:val="0028469D"/>
    <w:rsid w:val="00393AA2"/>
    <w:rsid w:val="003F63BB"/>
    <w:rsid w:val="00573E45"/>
    <w:rsid w:val="005D345A"/>
    <w:rsid w:val="00704442"/>
    <w:rsid w:val="0071147C"/>
    <w:rsid w:val="007428AC"/>
    <w:rsid w:val="007465BF"/>
    <w:rsid w:val="0077149D"/>
    <w:rsid w:val="008669A0"/>
    <w:rsid w:val="00920F02"/>
    <w:rsid w:val="009E1C08"/>
    <w:rsid w:val="00A22D85"/>
    <w:rsid w:val="00B03211"/>
    <w:rsid w:val="00C32202"/>
    <w:rsid w:val="00C61E37"/>
    <w:rsid w:val="00CE63ED"/>
    <w:rsid w:val="00E1580A"/>
    <w:rsid w:val="00E53029"/>
    <w:rsid w:val="00EC5412"/>
    <w:rsid w:val="00F228C2"/>
    <w:rsid w:val="00FA5B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35A8"/>
  <w15:docId w15:val="{9DD69A7E-9D0A-40C2-B376-6DF9ADDC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250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9250D"/>
    <w:pPr>
      <w:overflowPunct w:val="0"/>
      <w:autoSpaceDE w:val="0"/>
      <w:autoSpaceDN w:val="0"/>
      <w:adjustRightInd w:val="0"/>
      <w:textAlignment w:val="baseline"/>
    </w:pPr>
    <w:rPr>
      <w:szCs w:val="20"/>
      <w:lang w:val="en-US" w:eastAsia="en-US"/>
    </w:rPr>
  </w:style>
  <w:style w:type="paragraph" w:customStyle="1" w:styleId="DefaultText1">
    <w:name w:val="Default Text:1"/>
    <w:basedOn w:val="Normal"/>
    <w:rsid w:val="0009250D"/>
    <w:pPr>
      <w:overflowPunct w:val="0"/>
      <w:autoSpaceDE w:val="0"/>
      <w:autoSpaceDN w:val="0"/>
      <w:adjustRightInd w:val="0"/>
      <w:textAlignment w:val="baseline"/>
    </w:pPr>
    <w:rPr>
      <w:szCs w:val="20"/>
      <w:lang w:val="en-US" w:eastAsia="en-US"/>
    </w:rPr>
  </w:style>
  <w:style w:type="character" w:customStyle="1" w:styleId="InitialStyle">
    <w:name w:val="InitialStyle"/>
    <w:rsid w:val="0009250D"/>
    <w:rPr>
      <w:rFonts w:ascii="Courier New" w:hAnsi="Courier New"/>
      <w:color w:val="auto"/>
      <w:spacing w:val="0"/>
      <w:sz w:val="24"/>
    </w:rPr>
  </w:style>
  <w:style w:type="character" w:styleId="FootnoteReference">
    <w:name w:val="footnote reference"/>
    <w:basedOn w:val="DefaultParagraphFont"/>
    <w:semiHidden/>
    <w:rsid w:val="0009250D"/>
    <w:rPr>
      <w:vertAlign w:val="superscript"/>
    </w:rPr>
  </w:style>
  <w:style w:type="paragraph" w:styleId="Header">
    <w:name w:val="header"/>
    <w:basedOn w:val="Normal"/>
    <w:link w:val="HeaderChar"/>
    <w:uiPriority w:val="99"/>
    <w:unhideWhenUsed/>
    <w:rsid w:val="003F63BB"/>
    <w:pPr>
      <w:tabs>
        <w:tab w:val="center" w:pos="4513"/>
        <w:tab w:val="right" w:pos="9026"/>
      </w:tabs>
    </w:pPr>
  </w:style>
  <w:style w:type="character" w:customStyle="1" w:styleId="HeaderChar">
    <w:name w:val="Header Char"/>
    <w:basedOn w:val="DefaultParagraphFont"/>
    <w:link w:val="Header"/>
    <w:uiPriority w:val="99"/>
    <w:rsid w:val="003F63B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F63BB"/>
    <w:pPr>
      <w:tabs>
        <w:tab w:val="center" w:pos="4513"/>
        <w:tab w:val="right" w:pos="9026"/>
      </w:tabs>
    </w:pPr>
  </w:style>
  <w:style w:type="character" w:customStyle="1" w:styleId="FooterChar">
    <w:name w:val="Footer Char"/>
    <w:basedOn w:val="DefaultParagraphFont"/>
    <w:link w:val="Footer"/>
    <w:uiPriority w:val="99"/>
    <w:rsid w:val="003F63B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73E45"/>
    <w:rPr>
      <w:rFonts w:ascii="Tahoma" w:hAnsi="Tahoma" w:cs="Tahoma"/>
      <w:sz w:val="16"/>
      <w:szCs w:val="16"/>
    </w:rPr>
  </w:style>
  <w:style w:type="character" w:customStyle="1" w:styleId="BalloonTextChar">
    <w:name w:val="Balloon Text Char"/>
    <w:basedOn w:val="DefaultParagraphFont"/>
    <w:link w:val="BalloonText"/>
    <w:uiPriority w:val="99"/>
    <w:semiHidden/>
    <w:rsid w:val="00573E4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Wicklow VEC</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Wicklow VEC</dc:creator>
  <cp:lastModifiedBy>Patricia McDermott (ETBI)</cp:lastModifiedBy>
  <cp:revision>17</cp:revision>
  <cp:lastPrinted>2016-06-10T09:43:00Z</cp:lastPrinted>
  <dcterms:created xsi:type="dcterms:W3CDTF">2016-06-10T09:53:00Z</dcterms:created>
  <dcterms:modified xsi:type="dcterms:W3CDTF">2016-06-27T15:59:00Z</dcterms:modified>
</cp:coreProperties>
</file>